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ECB14" w14:textId="037E6699" w:rsidR="00642731" w:rsidRPr="00B072A2" w:rsidRDefault="00031DFD" w:rsidP="00642731">
      <w:pPr>
        <w:pStyle w:val="Tekstpodstawowy"/>
        <w:jc w:val="center"/>
        <w:rPr>
          <w:rFonts w:ascii="Cambria" w:hAnsi="Cambria"/>
          <w:b/>
          <w:i/>
          <w:color w:val="FF0000"/>
          <w:sz w:val="28"/>
          <w:lang w:val="pl-PL"/>
        </w:rPr>
      </w:pPr>
      <w:r>
        <w:rPr>
          <w:rFonts w:ascii="Cambria" w:hAnsi="Cambria"/>
          <w:b/>
          <w:i/>
          <w:color w:val="C45911" w:themeColor="accent2" w:themeShade="BF"/>
          <w:sz w:val="28"/>
          <w:lang w:val="pl-PL"/>
        </w:rPr>
        <w:t>Przykładowa treść planu</w:t>
      </w:r>
      <w:r w:rsidR="00C05AA7" w:rsidRPr="00B072A2">
        <w:rPr>
          <w:rFonts w:ascii="Cambria" w:hAnsi="Cambria"/>
          <w:b/>
          <w:i/>
          <w:color w:val="C45911" w:themeColor="accent2" w:themeShade="BF"/>
          <w:sz w:val="28"/>
          <w:lang w:val="pl-PL"/>
        </w:rPr>
        <w:t xml:space="preserve"> wprowadz</w:t>
      </w:r>
      <w:r w:rsidR="00966FE0">
        <w:rPr>
          <w:rFonts w:ascii="Cambria" w:hAnsi="Cambria"/>
          <w:b/>
          <w:i/>
          <w:color w:val="C45911" w:themeColor="accent2" w:themeShade="BF"/>
          <w:sz w:val="28"/>
          <w:lang w:val="pl-PL"/>
        </w:rPr>
        <w:t>a</w:t>
      </w:r>
      <w:r w:rsidR="00C05AA7" w:rsidRPr="00B072A2">
        <w:rPr>
          <w:rFonts w:ascii="Cambria" w:hAnsi="Cambria"/>
          <w:b/>
          <w:i/>
          <w:color w:val="C45911" w:themeColor="accent2" w:themeShade="BF"/>
          <w:sz w:val="28"/>
          <w:lang w:val="pl-PL"/>
        </w:rPr>
        <w:t xml:space="preserve">nia ograniczeń w poborze gazu ziemnego </w:t>
      </w:r>
      <w:r w:rsidR="00A403F3" w:rsidRPr="00B072A2">
        <w:rPr>
          <w:rFonts w:ascii="Cambria" w:hAnsi="Cambria"/>
          <w:b/>
          <w:i/>
          <w:color w:val="C45911" w:themeColor="accent2" w:themeShade="BF"/>
          <w:sz w:val="28"/>
          <w:lang w:val="pl-PL"/>
        </w:rPr>
        <w:t xml:space="preserve"> </w:t>
      </w:r>
      <w:r w:rsidR="007F6A16">
        <w:rPr>
          <w:rFonts w:ascii="Cambria" w:hAnsi="Cambria"/>
          <w:b/>
          <w:i/>
          <w:color w:val="C45911" w:themeColor="accent2" w:themeShade="BF"/>
          <w:sz w:val="28"/>
          <w:lang w:val="pl-PL"/>
        </w:rPr>
        <w:t>(</w:t>
      </w:r>
      <w:r w:rsidR="00A403F3" w:rsidRPr="00B072A2">
        <w:rPr>
          <w:rFonts w:ascii="Cambria" w:hAnsi="Cambria"/>
          <w:b/>
          <w:i/>
          <w:color w:val="C45911" w:themeColor="accent2" w:themeShade="BF"/>
          <w:sz w:val="28"/>
          <w:lang w:val="pl-PL"/>
        </w:rPr>
        <w:t xml:space="preserve">należy </w:t>
      </w:r>
      <w:r w:rsidR="007F6A16">
        <w:rPr>
          <w:rFonts w:ascii="Cambria" w:hAnsi="Cambria"/>
          <w:b/>
          <w:i/>
          <w:color w:val="C45911" w:themeColor="accent2" w:themeShade="BF"/>
          <w:sz w:val="28"/>
          <w:lang w:val="pl-PL"/>
        </w:rPr>
        <w:t>ją</w:t>
      </w:r>
      <w:r w:rsidR="00A403F3" w:rsidRPr="00B072A2">
        <w:rPr>
          <w:rFonts w:ascii="Cambria" w:hAnsi="Cambria"/>
          <w:b/>
          <w:i/>
          <w:color w:val="C45911" w:themeColor="accent2" w:themeShade="BF"/>
          <w:sz w:val="28"/>
          <w:lang w:val="pl-PL"/>
        </w:rPr>
        <w:t xml:space="preserve"> odpowiednio dostosować</w:t>
      </w:r>
      <w:r w:rsidR="00C05AA7" w:rsidRPr="00B072A2">
        <w:rPr>
          <w:rFonts w:ascii="Cambria" w:hAnsi="Cambria"/>
          <w:b/>
          <w:i/>
          <w:color w:val="C45911" w:themeColor="accent2" w:themeShade="BF"/>
          <w:sz w:val="28"/>
          <w:lang w:val="pl-PL"/>
        </w:rPr>
        <w:t xml:space="preserve"> oraz uzupełnić </w:t>
      </w:r>
      <w:r w:rsidR="007F6A16" w:rsidRPr="00B072A2">
        <w:rPr>
          <w:rFonts w:ascii="Cambria" w:hAnsi="Cambria"/>
          <w:b/>
          <w:i/>
          <w:color w:val="C45911" w:themeColor="accent2" w:themeShade="BF"/>
          <w:sz w:val="28"/>
          <w:lang w:val="pl-PL"/>
        </w:rPr>
        <w:t>cz</w:t>
      </w:r>
      <w:r w:rsidR="007F6A16">
        <w:rPr>
          <w:rFonts w:ascii="Cambria" w:hAnsi="Cambria"/>
          <w:b/>
          <w:i/>
          <w:color w:val="C45911" w:themeColor="accent2" w:themeShade="BF"/>
          <w:sz w:val="28"/>
          <w:lang w:val="pl-PL"/>
        </w:rPr>
        <w:t>ę</w:t>
      </w:r>
      <w:r w:rsidR="007F6A16" w:rsidRPr="00B072A2">
        <w:rPr>
          <w:rFonts w:ascii="Cambria" w:hAnsi="Cambria"/>
          <w:b/>
          <w:i/>
          <w:color w:val="C45911" w:themeColor="accent2" w:themeShade="BF"/>
          <w:sz w:val="28"/>
          <w:lang w:val="pl-PL"/>
        </w:rPr>
        <w:t>ś</w:t>
      </w:r>
      <w:r w:rsidR="007F6A16">
        <w:rPr>
          <w:rFonts w:ascii="Cambria" w:hAnsi="Cambria"/>
          <w:b/>
          <w:i/>
          <w:color w:val="C45911" w:themeColor="accent2" w:themeShade="BF"/>
          <w:sz w:val="28"/>
          <w:lang w:val="pl-PL"/>
        </w:rPr>
        <w:t>ci</w:t>
      </w:r>
      <w:r w:rsidR="000D60D9">
        <w:rPr>
          <w:rFonts w:ascii="Cambria" w:hAnsi="Cambria"/>
          <w:b/>
          <w:i/>
          <w:color w:val="C45911" w:themeColor="accent2" w:themeShade="BF"/>
          <w:sz w:val="28"/>
          <w:lang w:val="pl-PL"/>
        </w:rPr>
        <w:t> </w:t>
      </w:r>
      <w:r w:rsidR="007F6A16" w:rsidRPr="00B072A2">
        <w:rPr>
          <w:rFonts w:ascii="Cambria" w:hAnsi="Cambria"/>
          <w:b/>
          <w:i/>
          <w:color w:val="C45911" w:themeColor="accent2" w:themeShade="BF"/>
          <w:sz w:val="28"/>
          <w:lang w:val="pl-PL"/>
        </w:rPr>
        <w:t>I</w:t>
      </w:r>
      <w:r w:rsidR="000D60D9">
        <w:rPr>
          <w:rFonts w:ascii="Cambria" w:hAnsi="Cambria"/>
          <w:b/>
          <w:i/>
          <w:color w:val="C45911" w:themeColor="accent2" w:themeShade="BF"/>
          <w:sz w:val="28"/>
          <w:lang w:val="pl-PL"/>
        </w:rPr>
        <w:t> </w:t>
      </w:r>
      <w:proofErr w:type="spellStart"/>
      <w:r w:rsidR="007F6A16">
        <w:rPr>
          <w:rFonts w:ascii="Cambria" w:hAnsi="Cambria"/>
          <w:b/>
          <w:i/>
          <w:color w:val="C45911" w:themeColor="accent2" w:themeShade="BF"/>
          <w:sz w:val="28"/>
          <w:lang w:val="pl-PL"/>
        </w:rPr>
        <w:t>i</w:t>
      </w:r>
      <w:proofErr w:type="spellEnd"/>
      <w:r w:rsidR="007F6A16">
        <w:rPr>
          <w:rFonts w:ascii="Cambria" w:hAnsi="Cambria"/>
          <w:b/>
          <w:i/>
          <w:color w:val="C45911" w:themeColor="accent2" w:themeShade="BF"/>
          <w:sz w:val="28"/>
          <w:lang w:val="pl-PL"/>
        </w:rPr>
        <w:t> </w:t>
      </w:r>
      <w:r w:rsidR="007F6A16" w:rsidRPr="00B072A2">
        <w:rPr>
          <w:rFonts w:ascii="Cambria" w:hAnsi="Cambria"/>
          <w:b/>
          <w:i/>
          <w:color w:val="C45911" w:themeColor="accent2" w:themeShade="BF"/>
          <w:sz w:val="28"/>
          <w:lang w:val="pl-PL"/>
        </w:rPr>
        <w:t>II</w:t>
      </w:r>
      <w:r w:rsidR="000D60D9">
        <w:rPr>
          <w:rFonts w:ascii="Cambria" w:hAnsi="Cambria"/>
          <w:b/>
          <w:i/>
          <w:color w:val="C45911" w:themeColor="accent2" w:themeShade="BF"/>
          <w:sz w:val="28"/>
          <w:lang w:val="pl-PL"/>
        </w:rPr>
        <w:t> </w:t>
      </w:r>
      <w:r w:rsidR="007F6A16">
        <w:rPr>
          <w:rFonts w:ascii="Cambria" w:hAnsi="Cambria"/>
          <w:b/>
          <w:i/>
          <w:color w:val="C45911" w:themeColor="accent2" w:themeShade="BF"/>
          <w:sz w:val="28"/>
          <w:lang w:val="pl-PL"/>
        </w:rPr>
        <w:t xml:space="preserve">planu </w:t>
      </w:r>
      <w:r w:rsidR="00C05AA7" w:rsidRPr="00B072A2">
        <w:rPr>
          <w:rFonts w:ascii="Cambria" w:hAnsi="Cambria"/>
          <w:b/>
          <w:i/>
          <w:color w:val="C45911" w:themeColor="accent2" w:themeShade="BF"/>
          <w:sz w:val="28"/>
          <w:lang w:val="pl-PL"/>
        </w:rPr>
        <w:t>o tabel</w:t>
      </w:r>
      <w:r w:rsidR="007F6A16">
        <w:rPr>
          <w:rFonts w:ascii="Cambria" w:hAnsi="Cambria"/>
          <w:b/>
          <w:i/>
          <w:color w:val="C45911" w:themeColor="accent2" w:themeShade="BF"/>
          <w:sz w:val="28"/>
          <w:lang w:val="pl-PL"/>
        </w:rPr>
        <w:t>e)</w:t>
      </w:r>
      <w:r w:rsidR="00C05AA7" w:rsidRPr="00B072A2">
        <w:rPr>
          <w:rFonts w:ascii="Cambria" w:hAnsi="Cambria"/>
          <w:b/>
          <w:i/>
          <w:color w:val="C45911" w:themeColor="accent2" w:themeShade="BF"/>
          <w:sz w:val="28"/>
          <w:lang w:val="pl-PL"/>
        </w:rPr>
        <w:t xml:space="preserve"> </w:t>
      </w:r>
    </w:p>
    <w:p w14:paraId="24684F29" w14:textId="77777777" w:rsidR="009D5607" w:rsidRPr="00B072A2" w:rsidRDefault="009D5607" w:rsidP="00642731">
      <w:pPr>
        <w:pStyle w:val="Tekstpodstawowy"/>
        <w:jc w:val="center"/>
        <w:rPr>
          <w:rFonts w:ascii="Cambria" w:hAnsi="Cambria"/>
          <w:b/>
          <w:i/>
          <w:color w:val="C45911" w:themeColor="accent2" w:themeShade="BF"/>
          <w:sz w:val="28"/>
          <w:lang w:val="pl-PL"/>
        </w:rPr>
      </w:pPr>
    </w:p>
    <w:p w14:paraId="2E61BE9F" w14:textId="77777777" w:rsidR="00642731" w:rsidRPr="00B072A2" w:rsidRDefault="00642731" w:rsidP="00642731">
      <w:pPr>
        <w:pStyle w:val="Tekstpodstawowy"/>
        <w:tabs>
          <w:tab w:val="left" w:pos="0"/>
          <w:tab w:val="left" w:pos="993"/>
          <w:tab w:val="left" w:pos="2694"/>
        </w:tabs>
        <w:jc w:val="center"/>
        <w:rPr>
          <w:rFonts w:ascii="Cambria" w:hAnsi="Cambria"/>
          <w:b/>
          <w:sz w:val="28"/>
          <w:lang w:val="pl-PL"/>
        </w:rPr>
      </w:pPr>
    </w:p>
    <w:p w14:paraId="76DA9314" w14:textId="77777777" w:rsidR="00642731" w:rsidRPr="00B072A2" w:rsidRDefault="00642731" w:rsidP="00642731">
      <w:pPr>
        <w:pStyle w:val="Tekstpodstawowy"/>
        <w:tabs>
          <w:tab w:val="left" w:pos="0"/>
          <w:tab w:val="left" w:pos="993"/>
          <w:tab w:val="left" w:pos="2694"/>
        </w:tabs>
        <w:jc w:val="center"/>
        <w:rPr>
          <w:rFonts w:ascii="Cambria" w:hAnsi="Cambria"/>
          <w:b/>
          <w:sz w:val="52"/>
          <w:szCs w:val="52"/>
          <w:lang w:val="pl-PL"/>
        </w:rPr>
      </w:pPr>
    </w:p>
    <w:p w14:paraId="3A4964BF" w14:textId="7455F311" w:rsidR="00642731" w:rsidRPr="00B072A2" w:rsidRDefault="00C05AA7" w:rsidP="00642731">
      <w:pPr>
        <w:pStyle w:val="Tekstpodstawowy"/>
        <w:jc w:val="center"/>
        <w:rPr>
          <w:rFonts w:ascii="Cambria" w:hAnsi="Cambria"/>
          <w:b/>
          <w:color w:val="C45911" w:themeColor="accent2" w:themeShade="BF"/>
          <w:sz w:val="52"/>
          <w:szCs w:val="52"/>
          <w:lang w:val="pl-PL"/>
        </w:rPr>
      </w:pPr>
      <w:bookmarkStart w:id="0" w:name="_top"/>
      <w:bookmarkEnd w:id="0"/>
      <w:r w:rsidRPr="00B072A2">
        <w:rPr>
          <w:rFonts w:ascii="Cambria" w:hAnsi="Cambria"/>
          <w:b/>
          <w:color w:val="C45911" w:themeColor="accent2" w:themeShade="BF"/>
          <w:sz w:val="52"/>
          <w:szCs w:val="52"/>
          <w:lang w:val="pl-PL"/>
        </w:rPr>
        <w:t>Nazwa przedsiębiorstwa</w:t>
      </w:r>
    </w:p>
    <w:p w14:paraId="6999DC76" w14:textId="4EAB809F" w:rsidR="00C05AA7" w:rsidRPr="00B072A2" w:rsidRDefault="00C05AA7" w:rsidP="00642731">
      <w:pPr>
        <w:pStyle w:val="Tekstpodstawowy"/>
        <w:jc w:val="center"/>
        <w:rPr>
          <w:rFonts w:ascii="Cambria" w:hAnsi="Cambria"/>
          <w:b/>
          <w:sz w:val="40"/>
          <w:szCs w:val="40"/>
          <w:lang w:val="pl-PL"/>
        </w:rPr>
      </w:pPr>
    </w:p>
    <w:p w14:paraId="5660A9F1" w14:textId="77777777" w:rsidR="00C05AA7" w:rsidRPr="00B072A2" w:rsidRDefault="00C05AA7" w:rsidP="00C05AA7">
      <w:pPr>
        <w:pStyle w:val="Tekstpodstawowy"/>
        <w:jc w:val="center"/>
        <w:rPr>
          <w:rFonts w:ascii="Cambria" w:hAnsi="Cambria"/>
          <w:b/>
          <w:sz w:val="52"/>
          <w:szCs w:val="52"/>
          <w:lang w:val="pl-PL"/>
        </w:rPr>
      </w:pPr>
      <w:r w:rsidRPr="00B072A2">
        <w:rPr>
          <w:rFonts w:ascii="Cambria" w:hAnsi="Cambria"/>
          <w:b/>
          <w:sz w:val="52"/>
          <w:szCs w:val="52"/>
          <w:lang w:val="pl-PL"/>
        </w:rPr>
        <w:t>Plan wprowadzania ograniczeń</w:t>
      </w:r>
    </w:p>
    <w:p w14:paraId="247220DD" w14:textId="55646229" w:rsidR="00C05AA7" w:rsidRDefault="00C05AA7" w:rsidP="00C05AA7">
      <w:pPr>
        <w:pStyle w:val="Tekstpodstawowy"/>
        <w:jc w:val="center"/>
        <w:rPr>
          <w:rFonts w:ascii="Cambria" w:hAnsi="Cambria"/>
          <w:b/>
          <w:sz w:val="52"/>
          <w:szCs w:val="52"/>
          <w:lang w:val="pl-PL"/>
        </w:rPr>
      </w:pPr>
      <w:r w:rsidRPr="00B072A2">
        <w:rPr>
          <w:rFonts w:ascii="Cambria" w:hAnsi="Cambria"/>
          <w:b/>
          <w:sz w:val="52"/>
          <w:szCs w:val="52"/>
          <w:lang w:val="pl-PL"/>
        </w:rPr>
        <w:t>w poborze gazu ziemnego</w:t>
      </w:r>
    </w:p>
    <w:p w14:paraId="18F7058E" w14:textId="0ED1D5AA" w:rsidR="00F13785" w:rsidRPr="006141EC" w:rsidRDefault="00F13785" w:rsidP="00C05AA7">
      <w:pPr>
        <w:pStyle w:val="Tekstpodstawowy"/>
        <w:jc w:val="center"/>
        <w:rPr>
          <w:rFonts w:ascii="Cambria" w:hAnsi="Cambria"/>
          <w:b/>
          <w:color w:val="C45911" w:themeColor="accent2" w:themeShade="BF"/>
          <w:sz w:val="52"/>
          <w:szCs w:val="52"/>
          <w:lang w:val="pl-PL"/>
        </w:rPr>
      </w:pPr>
      <w:r w:rsidRPr="006141EC">
        <w:rPr>
          <w:rFonts w:ascii="Cambria" w:hAnsi="Cambria"/>
          <w:b/>
          <w:color w:val="C45911" w:themeColor="accent2" w:themeShade="BF"/>
          <w:sz w:val="52"/>
          <w:szCs w:val="52"/>
          <w:lang w:val="pl-PL"/>
        </w:rPr>
        <w:t>Nr 1/</w:t>
      </w:r>
      <w:r w:rsidRPr="00443E21">
        <w:rPr>
          <w:rFonts w:ascii="Cambria" w:hAnsi="Cambria"/>
          <w:b/>
          <w:color w:val="C45911" w:themeColor="accent2" w:themeShade="BF"/>
          <w:sz w:val="52"/>
          <w:szCs w:val="52"/>
          <w:lang w:val="pl-PL"/>
        </w:rPr>
        <w:t>202</w:t>
      </w:r>
      <w:r w:rsidR="001D3BAE" w:rsidRPr="00443E21">
        <w:rPr>
          <w:rFonts w:ascii="Cambria" w:hAnsi="Cambria"/>
          <w:b/>
          <w:color w:val="C45911" w:themeColor="accent2" w:themeShade="BF"/>
          <w:sz w:val="52"/>
          <w:szCs w:val="52"/>
          <w:lang w:val="pl-PL"/>
        </w:rPr>
        <w:t>2</w:t>
      </w:r>
    </w:p>
    <w:p w14:paraId="2CAABE3E" w14:textId="0D4B2097" w:rsidR="00642731" w:rsidRPr="00B072A2" w:rsidRDefault="00F13785" w:rsidP="00642731">
      <w:pPr>
        <w:pStyle w:val="Tekstpodstawowy"/>
        <w:jc w:val="center"/>
        <w:rPr>
          <w:rFonts w:ascii="Cambria" w:hAnsi="Cambria"/>
          <w:b/>
          <w:sz w:val="28"/>
          <w:lang w:val="pl-PL"/>
        </w:rPr>
      </w:pPr>
      <w:r w:rsidRPr="00F13785">
        <w:rPr>
          <w:rFonts w:ascii="Cambria" w:hAnsi="Cambria"/>
          <w:b/>
          <w:i/>
          <w:color w:val="C45911" w:themeColor="accent2" w:themeShade="BF"/>
          <w:sz w:val="28"/>
          <w:lang w:val="pl-PL"/>
        </w:rPr>
        <w:t>(wskazać numer</w:t>
      </w:r>
      <w:r>
        <w:rPr>
          <w:rFonts w:ascii="Cambria" w:hAnsi="Cambria"/>
          <w:b/>
          <w:i/>
          <w:color w:val="C45911" w:themeColor="accent2" w:themeShade="BF"/>
          <w:sz w:val="28"/>
          <w:lang w:val="pl-PL"/>
        </w:rPr>
        <w:t xml:space="preserve"> </w:t>
      </w:r>
      <w:r w:rsidRPr="00F13785">
        <w:rPr>
          <w:rFonts w:ascii="Cambria" w:hAnsi="Cambria"/>
          <w:b/>
          <w:i/>
          <w:color w:val="C45911" w:themeColor="accent2" w:themeShade="BF"/>
          <w:sz w:val="28"/>
          <w:lang w:val="pl-PL"/>
        </w:rPr>
        <w:t>i rok opracowania</w:t>
      </w:r>
      <w:r>
        <w:rPr>
          <w:rFonts w:ascii="Cambria" w:hAnsi="Cambria"/>
          <w:b/>
          <w:i/>
          <w:color w:val="C45911" w:themeColor="accent2" w:themeShade="BF"/>
          <w:sz w:val="28"/>
          <w:lang w:val="pl-PL"/>
        </w:rPr>
        <w:t xml:space="preserve"> planu</w:t>
      </w:r>
      <w:r w:rsidRPr="00F13785">
        <w:rPr>
          <w:rFonts w:ascii="Cambria" w:hAnsi="Cambria"/>
          <w:b/>
          <w:i/>
          <w:color w:val="C45911" w:themeColor="accent2" w:themeShade="BF"/>
          <w:sz w:val="28"/>
          <w:lang w:val="pl-PL"/>
        </w:rPr>
        <w:t>)</w:t>
      </w:r>
    </w:p>
    <w:p w14:paraId="2D51159C" w14:textId="77777777" w:rsidR="00642731" w:rsidRPr="00B072A2" w:rsidRDefault="00642731" w:rsidP="00642731">
      <w:pPr>
        <w:spacing w:before="120"/>
        <w:rPr>
          <w:rFonts w:ascii="Cambria" w:hAnsi="Cambria" w:cs="Arial"/>
          <w:szCs w:val="22"/>
        </w:rPr>
      </w:pPr>
    </w:p>
    <w:p w14:paraId="7107E52D" w14:textId="77777777" w:rsidR="00642731" w:rsidRPr="00B072A2" w:rsidRDefault="00642731" w:rsidP="00642731">
      <w:pPr>
        <w:spacing w:before="120"/>
        <w:rPr>
          <w:rFonts w:ascii="Cambria" w:hAnsi="Cambria" w:cs="Arial"/>
          <w:szCs w:val="22"/>
        </w:rPr>
      </w:pPr>
    </w:p>
    <w:p w14:paraId="1CFCE5EC" w14:textId="77777777" w:rsidR="00031DFD" w:rsidRPr="00B072A2" w:rsidRDefault="00031DFD" w:rsidP="00642731">
      <w:pPr>
        <w:pStyle w:val="Tekstpodstawowy3"/>
        <w:spacing w:before="120"/>
        <w:jc w:val="center"/>
        <w:rPr>
          <w:rFonts w:ascii="Cambria" w:hAnsi="Cambria" w:cs="Arial"/>
          <w:sz w:val="22"/>
          <w:szCs w:val="22"/>
        </w:rPr>
      </w:pPr>
      <w:bookmarkStart w:id="1" w:name="_Toc189323723"/>
    </w:p>
    <w:p w14:paraId="0A2F834D" w14:textId="6B079570" w:rsidR="00031DFD" w:rsidRPr="00B072A2" w:rsidRDefault="0005473E" w:rsidP="00031DFD">
      <w:pPr>
        <w:spacing w:line="240" w:lineRule="auto"/>
        <w:jc w:val="center"/>
        <w:rPr>
          <w:rFonts w:ascii="Cambria" w:hAnsi="Cambria" w:cs="Arial"/>
          <w:i/>
          <w:color w:val="C45911" w:themeColor="accent2" w:themeShade="BF"/>
          <w:sz w:val="24"/>
          <w:szCs w:val="24"/>
        </w:rPr>
      </w:pPr>
      <w:r w:rsidRPr="00B072A2">
        <w:rPr>
          <w:rFonts w:ascii="Cambria" w:hAnsi="Cambria" w:cs="Arial"/>
          <w:i/>
          <w:color w:val="C45911" w:themeColor="accent2" w:themeShade="BF"/>
          <w:sz w:val="24"/>
          <w:szCs w:val="24"/>
        </w:rPr>
        <w:t>Pieczątka firmowa</w:t>
      </w:r>
    </w:p>
    <w:p w14:paraId="5863F9C8" w14:textId="28601C6E" w:rsidR="0005473E" w:rsidRPr="00B072A2" w:rsidRDefault="0005473E" w:rsidP="0005473E">
      <w:pPr>
        <w:spacing w:line="240" w:lineRule="auto"/>
        <w:jc w:val="center"/>
        <w:rPr>
          <w:rFonts w:ascii="Cambria" w:hAnsi="Cambria" w:cs="Arial"/>
          <w:i/>
          <w:color w:val="C45911" w:themeColor="accent2" w:themeShade="BF"/>
          <w:sz w:val="24"/>
          <w:szCs w:val="24"/>
        </w:rPr>
      </w:pPr>
      <w:r w:rsidRPr="00B072A2">
        <w:rPr>
          <w:rFonts w:ascii="Cambria" w:hAnsi="Cambria" w:cs="Arial"/>
          <w:i/>
          <w:color w:val="C45911" w:themeColor="accent2" w:themeShade="BF"/>
          <w:sz w:val="24"/>
          <w:szCs w:val="24"/>
        </w:rPr>
        <w:t xml:space="preserve">Podpisy i pieczątki osób uprawnionych do reprezentowania przedsiębiorstwa </w:t>
      </w:r>
      <w:r w:rsidR="00031DFD">
        <w:rPr>
          <w:rFonts w:ascii="Cambria" w:hAnsi="Cambria" w:cs="Arial"/>
          <w:i/>
          <w:color w:val="C45911" w:themeColor="accent2" w:themeShade="BF"/>
          <w:sz w:val="24"/>
          <w:szCs w:val="24"/>
        </w:rPr>
        <w:t>lub podpisy elektroniczne w zależności od formy składanego wniosku</w:t>
      </w:r>
    </w:p>
    <w:p w14:paraId="2F377434" w14:textId="77777777" w:rsidR="0005473E" w:rsidRPr="00B072A2" w:rsidRDefault="0005473E" w:rsidP="00642731">
      <w:pPr>
        <w:pStyle w:val="Tekstpodstawowy3"/>
        <w:spacing w:before="120"/>
        <w:jc w:val="center"/>
        <w:rPr>
          <w:rFonts w:ascii="Cambria" w:hAnsi="Cambria" w:cs="Arial"/>
          <w:sz w:val="22"/>
          <w:szCs w:val="22"/>
        </w:rPr>
      </w:pPr>
    </w:p>
    <w:p w14:paraId="1CCDDA64" w14:textId="77777777" w:rsidR="00642731" w:rsidRPr="00B072A2" w:rsidRDefault="00642731" w:rsidP="00642731">
      <w:pPr>
        <w:pStyle w:val="Tekstpodstawowy3"/>
        <w:spacing w:before="120"/>
        <w:jc w:val="center"/>
        <w:rPr>
          <w:rFonts w:ascii="Cambria" w:hAnsi="Cambria" w:cs="Arial"/>
          <w:sz w:val="22"/>
          <w:szCs w:val="22"/>
        </w:rPr>
      </w:pPr>
    </w:p>
    <w:p w14:paraId="203FFFA1" w14:textId="77777777" w:rsidR="00642731" w:rsidRPr="00B072A2" w:rsidRDefault="00642731" w:rsidP="00642731">
      <w:pPr>
        <w:pStyle w:val="Tekstpodstawowy3"/>
        <w:spacing w:before="120"/>
        <w:jc w:val="center"/>
        <w:rPr>
          <w:rFonts w:ascii="Cambria" w:hAnsi="Cambria" w:cs="Arial"/>
          <w:sz w:val="22"/>
          <w:szCs w:val="22"/>
        </w:rPr>
      </w:pPr>
    </w:p>
    <w:p w14:paraId="41DC8E1A" w14:textId="77777777" w:rsidR="00642731" w:rsidRPr="00B072A2" w:rsidRDefault="00642731" w:rsidP="00823478">
      <w:pPr>
        <w:pStyle w:val="Tekstpodstawowy3"/>
        <w:spacing w:before="120"/>
        <w:rPr>
          <w:rFonts w:ascii="Cambria" w:hAnsi="Cambria" w:cs="Arial"/>
          <w:sz w:val="22"/>
          <w:szCs w:val="22"/>
        </w:rPr>
      </w:pPr>
    </w:p>
    <w:p w14:paraId="7C3AB14B" w14:textId="4E13C94F" w:rsidR="00CE6747" w:rsidRPr="00190206" w:rsidRDefault="00031DFD" w:rsidP="00190206">
      <w:pPr>
        <w:spacing w:line="240" w:lineRule="auto"/>
        <w:jc w:val="center"/>
        <w:rPr>
          <w:rFonts w:ascii="Cambria" w:hAnsi="Cambria" w:cs="Arial"/>
          <w:i/>
          <w:color w:val="C45911" w:themeColor="accent2" w:themeShade="BF"/>
          <w:sz w:val="24"/>
          <w:szCs w:val="24"/>
        </w:rPr>
      </w:pPr>
      <w:r>
        <w:rPr>
          <w:rFonts w:ascii="Cambria" w:hAnsi="Cambria" w:cs="Arial"/>
          <w:i/>
          <w:color w:val="C45911" w:themeColor="accent2" w:themeShade="BF"/>
          <w:sz w:val="24"/>
          <w:szCs w:val="24"/>
        </w:rPr>
        <w:t>Miejscowość</w:t>
      </w:r>
      <w:r w:rsidR="009D5607" w:rsidRPr="00B072A2">
        <w:rPr>
          <w:rFonts w:ascii="Cambria" w:hAnsi="Cambria" w:cs="Arial"/>
          <w:i/>
          <w:color w:val="C45911" w:themeColor="accent2" w:themeShade="BF"/>
          <w:sz w:val="24"/>
          <w:szCs w:val="24"/>
        </w:rPr>
        <w:t>,</w:t>
      </w:r>
      <w:r w:rsidR="00677D1F" w:rsidRPr="00B072A2">
        <w:rPr>
          <w:rFonts w:ascii="Cambria" w:hAnsi="Cambria" w:cs="Arial"/>
          <w:i/>
          <w:color w:val="C45911" w:themeColor="accent2" w:themeShade="BF"/>
          <w:sz w:val="24"/>
          <w:szCs w:val="24"/>
        </w:rPr>
        <w:t xml:space="preserve"> </w:t>
      </w:r>
      <w:bookmarkEnd w:id="1"/>
      <w:r>
        <w:rPr>
          <w:rFonts w:ascii="Cambria" w:hAnsi="Cambria" w:cs="Arial"/>
          <w:i/>
          <w:color w:val="C45911" w:themeColor="accent2" w:themeShade="BF"/>
          <w:sz w:val="24"/>
          <w:szCs w:val="24"/>
        </w:rPr>
        <w:t xml:space="preserve">miesiąc i </w:t>
      </w:r>
      <w:r w:rsidR="009D5607" w:rsidRPr="00B072A2">
        <w:rPr>
          <w:rFonts w:ascii="Cambria" w:hAnsi="Cambria" w:cs="Arial"/>
          <w:i/>
          <w:color w:val="C45911" w:themeColor="accent2" w:themeShade="BF"/>
          <w:sz w:val="24"/>
          <w:szCs w:val="24"/>
        </w:rPr>
        <w:t>rok</w:t>
      </w:r>
      <w:r w:rsidR="007F6A16">
        <w:rPr>
          <w:rFonts w:ascii="Cambria" w:hAnsi="Cambria" w:cs="Arial"/>
          <w:i/>
          <w:color w:val="C45911" w:themeColor="accent2" w:themeShade="BF"/>
          <w:sz w:val="24"/>
          <w:szCs w:val="24"/>
        </w:rPr>
        <w:t xml:space="preserve"> opracowania</w:t>
      </w:r>
      <w:r w:rsidR="00595591">
        <w:rPr>
          <w:rFonts w:ascii="Cambria" w:hAnsi="Cambria" w:cs="Arial"/>
          <w:i/>
          <w:color w:val="C45911" w:themeColor="accent2" w:themeShade="BF"/>
          <w:sz w:val="24"/>
          <w:szCs w:val="24"/>
        </w:rPr>
        <w:br w:type="page"/>
      </w:r>
    </w:p>
    <w:p w14:paraId="55EF8FDA" w14:textId="77777777" w:rsidR="000D60D9" w:rsidRPr="00CE6747" w:rsidRDefault="000D60D9" w:rsidP="000D60D9">
      <w:pPr>
        <w:rPr>
          <w:rFonts w:ascii="Cambria" w:hAnsi="Cambria"/>
          <w:b/>
          <w:bCs/>
          <w:szCs w:val="22"/>
        </w:rPr>
      </w:pPr>
      <w:r w:rsidRPr="00B072A2">
        <w:rPr>
          <w:rFonts w:ascii="Cambria" w:hAnsi="Cambria"/>
          <w:b/>
          <w:bCs/>
          <w:szCs w:val="22"/>
        </w:rPr>
        <w:lastRenderedPageBreak/>
        <w:t xml:space="preserve">Niniejszy Plan wprowadzania ograniczeń w poborze gazu ziemnego (dalej: „plan ograniczeń”) został opracowany przez </w:t>
      </w:r>
      <w:r w:rsidRPr="00B072A2">
        <w:rPr>
          <w:rFonts w:ascii="Cambria" w:hAnsi="Cambria"/>
          <w:b/>
          <w:bCs/>
          <w:color w:val="C45911" w:themeColor="accent2" w:themeShade="BF"/>
          <w:szCs w:val="22"/>
        </w:rPr>
        <w:t xml:space="preserve">nazwa przedsiębiorstwa </w:t>
      </w:r>
      <w:r w:rsidRPr="00B072A2">
        <w:rPr>
          <w:rFonts w:ascii="Cambria" w:hAnsi="Cambria"/>
          <w:b/>
          <w:bCs/>
          <w:szCs w:val="22"/>
        </w:rPr>
        <w:t xml:space="preserve">z siedzibą w </w:t>
      </w:r>
      <w:r w:rsidRPr="00B072A2">
        <w:rPr>
          <w:rFonts w:ascii="Cambria" w:hAnsi="Cambria"/>
          <w:b/>
          <w:bCs/>
          <w:color w:val="C45911" w:themeColor="accent2" w:themeShade="BF"/>
          <w:szCs w:val="22"/>
        </w:rPr>
        <w:t>miejscowość</w:t>
      </w:r>
      <w:r w:rsidRPr="00B072A2">
        <w:rPr>
          <w:rFonts w:ascii="Cambria" w:hAnsi="Cambria"/>
          <w:b/>
          <w:bCs/>
          <w:szCs w:val="22"/>
        </w:rPr>
        <w:t xml:space="preserve"> – jako operatora systemu </w:t>
      </w:r>
      <w:r w:rsidRPr="00B072A2">
        <w:rPr>
          <w:rFonts w:ascii="Cambria" w:hAnsi="Cambria"/>
          <w:b/>
          <w:bCs/>
          <w:color w:val="C45911" w:themeColor="accent2" w:themeShade="BF"/>
          <w:szCs w:val="22"/>
        </w:rPr>
        <w:t>dystrybucyjnego/przesyłowego</w:t>
      </w:r>
      <w:r>
        <w:rPr>
          <w:rFonts w:ascii="Cambria" w:hAnsi="Cambria"/>
          <w:b/>
          <w:bCs/>
          <w:color w:val="C45911" w:themeColor="accent2" w:themeShade="BF"/>
          <w:szCs w:val="22"/>
        </w:rPr>
        <w:t xml:space="preserve"> – wybrać odpowiednio</w:t>
      </w:r>
      <w:r w:rsidRPr="00B072A2">
        <w:rPr>
          <w:rFonts w:ascii="Cambria" w:hAnsi="Cambria"/>
          <w:b/>
          <w:bCs/>
          <w:color w:val="C45911" w:themeColor="accent2" w:themeShade="BF"/>
          <w:szCs w:val="22"/>
        </w:rPr>
        <w:t xml:space="preserve"> </w:t>
      </w:r>
      <w:r w:rsidRPr="00B072A2">
        <w:rPr>
          <w:rFonts w:ascii="Cambria" w:hAnsi="Cambria"/>
          <w:b/>
          <w:bCs/>
          <w:szCs w:val="22"/>
        </w:rPr>
        <w:t>gazowego (dalej: Operator)</w:t>
      </w:r>
      <w:r w:rsidRPr="00CE6747">
        <w:rPr>
          <w:rFonts w:ascii="Cambria" w:hAnsi="Cambria"/>
          <w:b/>
          <w:bCs/>
          <w:szCs w:val="22"/>
        </w:rPr>
        <w:t xml:space="preserve"> prowadzącego działalność na podstawie koncesji Nr </w:t>
      </w:r>
      <w:r w:rsidRPr="00CE6747">
        <w:rPr>
          <w:rFonts w:ascii="Cambria" w:hAnsi="Cambria"/>
          <w:b/>
          <w:bCs/>
          <w:color w:val="C45911" w:themeColor="accent2" w:themeShade="BF"/>
          <w:szCs w:val="22"/>
        </w:rPr>
        <w:t>[wpisać numer, datę udzielenia i okres obowiązywania koncesji Prezesa URE]</w:t>
      </w:r>
      <w:r>
        <w:rPr>
          <w:rFonts w:ascii="Cambria" w:hAnsi="Cambria"/>
          <w:b/>
          <w:bCs/>
          <w:color w:val="C45911" w:themeColor="accent2" w:themeShade="BF"/>
          <w:szCs w:val="22"/>
        </w:rPr>
        <w:t xml:space="preserve"> </w:t>
      </w:r>
      <w:r w:rsidRPr="0034046E">
        <w:rPr>
          <w:rFonts w:ascii="Cambria" w:hAnsi="Cambria"/>
          <w:b/>
          <w:bCs/>
          <w:szCs w:val="22"/>
        </w:rPr>
        <w:t xml:space="preserve">i </w:t>
      </w:r>
      <w:r w:rsidRPr="00CE6747">
        <w:rPr>
          <w:rFonts w:ascii="Cambria" w:hAnsi="Cambria"/>
          <w:b/>
          <w:bCs/>
          <w:szCs w:val="22"/>
        </w:rPr>
        <w:t>obowiązuje od dnia zatwierdzenia przez Prezesa Urzędu Regulacji Energetyki niniejszego planu do dnia zatwierdzenia przez Prezesa Urzędu Regulacji Energetyki aktualizacji tego planu.</w:t>
      </w:r>
    </w:p>
    <w:p w14:paraId="738B181B" w14:textId="77777777" w:rsidR="00CE6747" w:rsidRPr="00CE6747" w:rsidRDefault="00CE6747" w:rsidP="00CE6747">
      <w:pPr>
        <w:rPr>
          <w:rFonts w:ascii="Cambria" w:hAnsi="Cambria"/>
          <w:b/>
          <w:bCs/>
          <w:szCs w:val="22"/>
        </w:rPr>
      </w:pPr>
    </w:p>
    <w:p w14:paraId="4AC50D87" w14:textId="5001EEAF" w:rsidR="00CE6747" w:rsidRPr="000D60D9" w:rsidRDefault="000D60D9" w:rsidP="00CE6747">
      <w:pPr>
        <w:pStyle w:val="Akapitzlist"/>
        <w:numPr>
          <w:ilvl w:val="0"/>
          <w:numId w:val="16"/>
        </w:numPr>
        <w:rPr>
          <w:rFonts w:ascii="Cambria" w:hAnsi="Cambria"/>
          <w:b/>
          <w:bCs/>
          <w:szCs w:val="22"/>
        </w:rPr>
      </w:pPr>
      <w:r>
        <w:rPr>
          <w:rFonts w:ascii="Cambria" w:hAnsi="Cambria"/>
          <w:b/>
          <w:bCs/>
          <w:szCs w:val="22"/>
        </w:rPr>
        <w:t>Postanowienia ogólne</w:t>
      </w:r>
      <w:r w:rsidR="00274C67">
        <w:rPr>
          <w:rFonts w:ascii="Cambria" w:hAnsi="Cambria"/>
          <w:b/>
          <w:bCs/>
          <w:szCs w:val="22"/>
        </w:rPr>
        <w:t>.</w:t>
      </w:r>
    </w:p>
    <w:p w14:paraId="4A9A042B" w14:textId="20F6AEB6" w:rsidR="00823478" w:rsidRPr="00F45E9B" w:rsidRDefault="0034046E" w:rsidP="00F45E9B">
      <w:pPr>
        <w:pStyle w:val="Akapitzlist"/>
        <w:numPr>
          <w:ilvl w:val="1"/>
          <w:numId w:val="19"/>
        </w:numPr>
        <w:rPr>
          <w:rFonts w:ascii="Cambria" w:hAnsi="Cambria"/>
          <w:b/>
          <w:bCs/>
          <w:szCs w:val="22"/>
        </w:rPr>
      </w:pPr>
      <w:r>
        <w:rPr>
          <w:rFonts w:ascii="Cambria" w:hAnsi="Cambria"/>
          <w:b/>
          <w:bCs/>
          <w:szCs w:val="22"/>
        </w:rPr>
        <w:t>Podstawy prawne</w:t>
      </w:r>
      <w:r w:rsidR="00BB5035">
        <w:rPr>
          <w:rFonts w:ascii="Cambria" w:hAnsi="Cambria"/>
          <w:b/>
          <w:bCs/>
          <w:szCs w:val="22"/>
        </w:rPr>
        <w:t>:</w:t>
      </w:r>
    </w:p>
    <w:p w14:paraId="06C14600" w14:textId="44E8FF65" w:rsidR="003849C5" w:rsidRPr="00B072A2" w:rsidRDefault="003849C5" w:rsidP="00F45E9B">
      <w:pPr>
        <w:pStyle w:val="Akapitzlist"/>
        <w:numPr>
          <w:ilvl w:val="0"/>
          <w:numId w:val="3"/>
        </w:numPr>
        <w:rPr>
          <w:rFonts w:ascii="Cambria" w:hAnsi="Cambria"/>
          <w:szCs w:val="22"/>
        </w:rPr>
      </w:pPr>
      <w:r w:rsidRPr="00B072A2">
        <w:rPr>
          <w:rFonts w:ascii="Cambria" w:hAnsi="Cambria"/>
          <w:szCs w:val="22"/>
        </w:rPr>
        <w:t>Ustawa z dnia 16 lutego 2007 r. o zapasach ropy naftowej, produktów naftowych i gazu ziemnego oraz zasadach postępowania w sytuacjach zagrożenia bezpieczeństwa paliwowego państwa i zakłóceń na rynku naftowym (</w:t>
      </w:r>
      <w:r w:rsidRPr="00443E21">
        <w:rPr>
          <w:rFonts w:ascii="Cambria" w:hAnsi="Cambria"/>
          <w:color w:val="000000" w:themeColor="text1"/>
          <w:szCs w:val="22"/>
        </w:rPr>
        <w:t>Dz. U. z 20</w:t>
      </w:r>
      <w:r w:rsidR="00DB4BDE" w:rsidRPr="00443E21">
        <w:rPr>
          <w:rFonts w:ascii="Cambria" w:hAnsi="Cambria"/>
          <w:color w:val="000000" w:themeColor="text1"/>
          <w:szCs w:val="22"/>
        </w:rPr>
        <w:t>2</w:t>
      </w:r>
      <w:r w:rsidR="001D3BAE" w:rsidRPr="00443E21">
        <w:rPr>
          <w:rFonts w:ascii="Cambria" w:hAnsi="Cambria"/>
          <w:color w:val="000000" w:themeColor="text1"/>
          <w:szCs w:val="22"/>
        </w:rPr>
        <w:t>2</w:t>
      </w:r>
      <w:r w:rsidRPr="00443E21">
        <w:rPr>
          <w:rFonts w:ascii="Cambria" w:hAnsi="Cambria"/>
          <w:color w:val="000000" w:themeColor="text1"/>
          <w:szCs w:val="22"/>
        </w:rPr>
        <w:t xml:space="preserve"> r. poz. </w:t>
      </w:r>
      <w:r w:rsidR="001D3BAE" w:rsidRPr="00443E21">
        <w:rPr>
          <w:rFonts w:ascii="Cambria" w:hAnsi="Cambria"/>
          <w:color w:val="000000" w:themeColor="text1"/>
          <w:szCs w:val="22"/>
        </w:rPr>
        <w:t>1537</w:t>
      </w:r>
      <w:r w:rsidR="00DC584E">
        <w:rPr>
          <w:rFonts w:ascii="Cambria" w:hAnsi="Cambria"/>
          <w:color w:val="000000" w:themeColor="text1"/>
          <w:szCs w:val="22"/>
        </w:rPr>
        <w:t xml:space="preserve"> i </w:t>
      </w:r>
      <w:r w:rsidR="00CB5380">
        <w:rPr>
          <w:rFonts w:ascii="Cambria" w:hAnsi="Cambria"/>
          <w:color w:val="000000" w:themeColor="text1"/>
          <w:szCs w:val="22"/>
        </w:rPr>
        <w:t>1723)</w:t>
      </w:r>
      <w:r w:rsidR="00DB4BDE" w:rsidRPr="001D3BAE">
        <w:rPr>
          <w:rFonts w:ascii="Cambria" w:hAnsi="Cambria"/>
          <w:color w:val="FF0000"/>
          <w:szCs w:val="22"/>
        </w:rPr>
        <w:t xml:space="preserve"> </w:t>
      </w:r>
      <w:r w:rsidR="00DB4BDE" w:rsidRPr="00B072A2">
        <w:rPr>
          <w:rFonts w:ascii="Cambria" w:hAnsi="Cambria"/>
          <w:color w:val="C45911" w:themeColor="accent2" w:themeShade="BF"/>
          <w:szCs w:val="22"/>
        </w:rPr>
        <w:t>–  wpisać aktualny publikator</w:t>
      </w:r>
      <w:r w:rsidRPr="00B072A2">
        <w:rPr>
          <w:rFonts w:ascii="Cambria" w:hAnsi="Cambria"/>
          <w:szCs w:val="22"/>
        </w:rPr>
        <w:t>) zwana dalej „</w:t>
      </w:r>
      <w:r w:rsidR="00AE5EC1">
        <w:rPr>
          <w:rFonts w:ascii="Cambria" w:hAnsi="Cambria"/>
          <w:szCs w:val="22"/>
        </w:rPr>
        <w:t>u</w:t>
      </w:r>
      <w:r w:rsidRPr="00B072A2">
        <w:rPr>
          <w:rFonts w:ascii="Cambria" w:hAnsi="Cambria"/>
          <w:szCs w:val="22"/>
        </w:rPr>
        <w:t>stawą o zapasach”;</w:t>
      </w:r>
    </w:p>
    <w:p w14:paraId="256AC3CB" w14:textId="0D163EA5" w:rsidR="003849C5" w:rsidRPr="00B072A2" w:rsidRDefault="003849C5" w:rsidP="00F45E9B">
      <w:pPr>
        <w:pStyle w:val="Akapitzlist"/>
        <w:numPr>
          <w:ilvl w:val="0"/>
          <w:numId w:val="3"/>
        </w:numPr>
        <w:rPr>
          <w:rFonts w:ascii="Cambria" w:hAnsi="Cambria"/>
          <w:szCs w:val="22"/>
        </w:rPr>
      </w:pPr>
      <w:r w:rsidRPr="00B072A2">
        <w:rPr>
          <w:rFonts w:ascii="Cambria" w:hAnsi="Cambria"/>
          <w:szCs w:val="22"/>
        </w:rPr>
        <w:t>Rozporządzenie Rady Ministrów z dnia 1</w:t>
      </w:r>
      <w:r w:rsidR="00DB4BDE" w:rsidRPr="00B072A2">
        <w:rPr>
          <w:rFonts w:ascii="Cambria" w:hAnsi="Cambria"/>
          <w:szCs w:val="22"/>
        </w:rPr>
        <w:t>7</w:t>
      </w:r>
      <w:r w:rsidRPr="00B072A2">
        <w:rPr>
          <w:rFonts w:ascii="Cambria" w:hAnsi="Cambria"/>
          <w:szCs w:val="22"/>
        </w:rPr>
        <w:t xml:space="preserve"> </w:t>
      </w:r>
      <w:r w:rsidR="00DB4BDE" w:rsidRPr="00B072A2">
        <w:rPr>
          <w:rFonts w:ascii="Cambria" w:hAnsi="Cambria"/>
          <w:szCs w:val="22"/>
        </w:rPr>
        <w:t>lutego</w:t>
      </w:r>
      <w:r w:rsidRPr="00B072A2">
        <w:rPr>
          <w:rFonts w:ascii="Cambria" w:hAnsi="Cambria"/>
          <w:szCs w:val="22"/>
        </w:rPr>
        <w:t xml:space="preserve"> 20</w:t>
      </w:r>
      <w:r w:rsidR="00DB4BDE" w:rsidRPr="00B072A2">
        <w:rPr>
          <w:rFonts w:ascii="Cambria" w:hAnsi="Cambria"/>
          <w:szCs w:val="22"/>
        </w:rPr>
        <w:t>21</w:t>
      </w:r>
      <w:r w:rsidRPr="00B072A2">
        <w:rPr>
          <w:rFonts w:ascii="Cambria" w:hAnsi="Cambria"/>
          <w:szCs w:val="22"/>
        </w:rPr>
        <w:t xml:space="preserve"> r. w sprawie sposobu i trybu wprowadzania ograniczeń w poborze gazu ziemnego (Dz. U. z 20</w:t>
      </w:r>
      <w:r w:rsidR="00DB4BDE" w:rsidRPr="00B072A2">
        <w:rPr>
          <w:rFonts w:ascii="Cambria" w:hAnsi="Cambria"/>
          <w:szCs w:val="22"/>
        </w:rPr>
        <w:t>21</w:t>
      </w:r>
      <w:r w:rsidRPr="00B072A2">
        <w:rPr>
          <w:rFonts w:ascii="Cambria" w:hAnsi="Cambria"/>
          <w:szCs w:val="22"/>
        </w:rPr>
        <w:t xml:space="preserve"> r</w:t>
      </w:r>
      <w:r w:rsidR="00DB4BDE" w:rsidRPr="00B072A2">
        <w:rPr>
          <w:rFonts w:ascii="Cambria" w:hAnsi="Cambria"/>
          <w:szCs w:val="22"/>
        </w:rPr>
        <w:t>.</w:t>
      </w:r>
      <w:r w:rsidRPr="00B072A2">
        <w:rPr>
          <w:rFonts w:ascii="Cambria" w:hAnsi="Cambria"/>
          <w:szCs w:val="22"/>
        </w:rPr>
        <w:t xml:space="preserve"> poz. </w:t>
      </w:r>
      <w:r w:rsidR="00DB4BDE" w:rsidRPr="00B072A2">
        <w:rPr>
          <w:rFonts w:ascii="Cambria" w:hAnsi="Cambria"/>
          <w:szCs w:val="22"/>
        </w:rPr>
        <w:t>549</w:t>
      </w:r>
      <w:r w:rsidR="00EB4895" w:rsidRPr="00B072A2">
        <w:rPr>
          <w:rFonts w:ascii="Cambria" w:hAnsi="Cambria"/>
          <w:szCs w:val="22"/>
        </w:rPr>
        <w:t xml:space="preserve"> </w:t>
      </w:r>
      <w:r w:rsidR="00EB4895" w:rsidRPr="00B072A2">
        <w:rPr>
          <w:rFonts w:ascii="Cambria" w:hAnsi="Cambria"/>
          <w:color w:val="C45911" w:themeColor="accent2" w:themeShade="BF"/>
          <w:szCs w:val="22"/>
        </w:rPr>
        <w:t>–  wpisać aktualny publikator</w:t>
      </w:r>
      <w:r w:rsidRPr="00B072A2">
        <w:rPr>
          <w:rFonts w:ascii="Cambria" w:hAnsi="Cambria"/>
          <w:szCs w:val="22"/>
        </w:rPr>
        <w:t>), zwane dalej „</w:t>
      </w:r>
      <w:r w:rsidR="00AE5EC1">
        <w:rPr>
          <w:rFonts w:ascii="Cambria" w:hAnsi="Cambria"/>
          <w:szCs w:val="22"/>
        </w:rPr>
        <w:t>r</w:t>
      </w:r>
      <w:r w:rsidR="00FB4A66">
        <w:rPr>
          <w:rFonts w:ascii="Cambria" w:hAnsi="Cambria"/>
          <w:szCs w:val="22"/>
        </w:rPr>
        <w:t>ozporządzeniem”.</w:t>
      </w:r>
    </w:p>
    <w:p w14:paraId="20688996" w14:textId="77777777" w:rsidR="00F45E9B" w:rsidRPr="00B072A2" w:rsidRDefault="00F45E9B" w:rsidP="00F45E9B">
      <w:pPr>
        <w:pStyle w:val="Akapitzlist"/>
        <w:ind w:left="360"/>
        <w:rPr>
          <w:rFonts w:ascii="Cambria" w:hAnsi="Cambria"/>
          <w:szCs w:val="22"/>
        </w:rPr>
      </w:pPr>
    </w:p>
    <w:p w14:paraId="26161078" w14:textId="32993643" w:rsidR="00C35D51" w:rsidRPr="00F45E9B" w:rsidRDefault="00C35D51" w:rsidP="00F45E9B">
      <w:pPr>
        <w:pStyle w:val="Akapitzlist"/>
        <w:numPr>
          <w:ilvl w:val="1"/>
          <w:numId w:val="18"/>
        </w:numPr>
        <w:spacing w:before="120" w:after="120"/>
        <w:rPr>
          <w:rFonts w:ascii="Cambria" w:hAnsi="Cambria"/>
          <w:b/>
          <w:bCs/>
          <w:szCs w:val="22"/>
        </w:rPr>
      </w:pPr>
      <w:r w:rsidRPr="00F45E9B">
        <w:rPr>
          <w:rFonts w:ascii="Cambria" w:hAnsi="Cambria"/>
          <w:b/>
          <w:bCs/>
          <w:szCs w:val="22"/>
        </w:rPr>
        <w:t>Tryb wprowadzania ograniczeń w poborze gazu ziemnego</w:t>
      </w:r>
      <w:r w:rsidR="00BB5035">
        <w:rPr>
          <w:rFonts w:ascii="Cambria" w:hAnsi="Cambria"/>
          <w:b/>
          <w:bCs/>
          <w:szCs w:val="22"/>
        </w:rPr>
        <w:t>.</w:t>
      </w:r>
      <w:r w:rsidRPr="00F45E9B">
        <w:rPr>
          <w:rFonts w:ascii="Cambria" w:hAnsi="Cambria"/>
          <w:b/>
          <w:bCs/>
          <w:szCs w:val="22"/>
        </w:rPr>
        <w:t xml:space="preserve"> </w:t>
      </w:r>
    </w:p>
    <w:p w14:paraId="46F66178" w14:textId="6C4D9D00" w:rsidR="001D3BAE" w:rsidRPr="00443E21" w:rsidRDefault="001D3BAE" w:rsidP="001D3BAE">
      <w:pPr>
        <w:pStyle w:val="Akapitzlist"/>
        <w:numPr>
          <w:ilvl w:val="2"/>
          <w:numId w:val="18"/>
        </w:numPr>
        <w:rPr>
          <w:rFonts w:ascii="Cambria" w:hAnsi="Cambria"/>
          <w:color w:val="000000" w:themeColor="text1"/>
          <w:szCs w:val="22"/>
        </w:rPr>
      </w:pPr>
      <w:r w:rsidRPr="00443E21">
        <w:rPr>
          <w:rFonts w:ascii="Cambria" w:hAnsi="Cambria"/>
          <w:color w:val="000000" w:themeColor="text1"/>
          <w:szCs w:val="22"/>
        </w:rPr>
        <w:t>W przypadku ogłoszenia stanu nadzwyczajnego, o którym mowa w art. 49a ust. 2 ustawy o zapasach</w:t>
      </w:r>
      <w:r w:rsidR="00CB5380">
        <w:rPr>
          <w:rStyle w:val="Odwoanieprzypisudolnego"/>
          <w:rFonts w:ascii="Cambria" w:hAnsi="Cambria"/>
          <w:color w:val="000000" w:themeColor="text1"/>
          <w:szCs w:val="22"/>
        </w:rPr>
        <w:footnoteReference w:id="1"/>
      </w:r>
      <w:r w:rsidRPr="00443E21">
        <w:rPr>
          <w:rFonts w:ascii="Cambria" w:hAnsi="Cambria"/>
          <w:color w:val="000000" w:themeColor="text1"/>
          <w:szCs w:val="22"/>
        </w:rPr>
        <w:t>, na terytorium Rzeczypospolitej Polskiej lub jego części mogą być wprowadzone na czas oznaczony ograniczenia.</w:t>
      </w:r>
    </w:p>
    <w:p w14:paraId="6E7C8EC8" w14:textId="61F759B0" w:rsidR="001D3BAE" w:rsidRPr="00443E21" w:rsidRDefault="001D3BAE" w:rsidP="001D3BAE">
      <w:pPr>
        <w:pStyle w:val="Akapitzlist"/>
        <w:numPr>
          <w:ilvl w:val="2"/>
          <w:numId w:val="18"/>
        </w:numPr>
        <w:rPr>
          <w:rFonts w:ascii="Cambria" w:hAnsi="Cambria"/>
          <w:color w:val="000000" w:themeColor="text1"/>
          <w:szCs w:val="22"/>
        </w:rPr>
      </w:pPr>
      <w:r w:rsidRPr="00443E21">
        <w:rPr>
          <w:rFonts w:ascii="Cambria" w:hAnsi="Cambria"/>
          <w:color w:val="000000" w:themeColor="text1"/>
          <w:szCs w:val="22"/>
        </w:rPr>
        <w:t xml:space="preserve">Stan nadzwyczajny, o którym mowa w </w:t>
      </w:r>
      <w:r w:rsidR="00FA14BC">
        <w:rPr>
          <w:rFonts w:ascii="Cambria" w:hAnsi="Cambria"/>
          <w:color w:val="000000" w:themeColor="text1"/>
          <w:szCs w:val="22"/>
        </w:rPr>
        <w:t>pkt 1.2.1</w:t>
      </w:r>
      <w:r w:rsidR="00C0649E">
        <w:rPr>
          <w:rFonts w:ascii="Cambria" w:hAnsi="Cambria"/>
          <w:color w:val="000000" w:themeColor="text1"/>
          <w:szCs w:val="22"/>
        </w:rPr>
        <w:t>.</w:t>
      </w:r>
      <w:r w:rsidRPr="00443E21">
        <w:rPr>
          <w:rFonts w:ascii="Cambria" w:hAnsi="Cambria"/>
          <w:color w:val="000000" w:themeColor="text1"/>
          <w:szCs w:val="22"/>
        </w:rPr>
        <w:t>, minister właściwy do spraw energii ogłasza, w drodze rozporządzenia, po otrzymaniu informacji od operatora systemu gazowego lub operatora systemu połączonego gazowego o wystąpieniu co najmniej jednej z poniższych sytuacji:</w:t>
      </w:r>
    </w:p>
    <w:p w14:paraId="3B7E8199" w14:textId="51AD82F7" w:rsidR="001D3BAE" w:rsidRPr="00443E21" w:rsidRDefault="001D3BAE" w:rsidP="003C564C">
      <w:pPr>
        <w:pStyle w:val="Akapitzlist"/>
        <w:numPr>
          <w:ilvl w:val="1"/>
          <w:numId w:val="3"/>
        </w:numPr>
        <w:ind w:left="1077" w:hanging="357"/>
        <w:rPr>
          <w:rFonts w:ascii="Cambria" w:hAnsi="Cambria"/>
          <w:color w:val="000000" w:themeColor="text1"/>
          <w:szCs w:val="22"/>
        </w:rPr>
      </w:pPr>
      <w:r w:rsidRPr="00443E21">
        <w:rPr>
          <w:rFonts w:ascii="Cambria" w:hAnsi="Cambria"/>
          <w:color w:val="000000" w:themeColor="text1"/>
          <w:szCs w:val="22"/>
        </w:rPr>
        <w:t>zagrożenia bezpieczeństwa gazowego państwa,</w:t>
      </w:r>
    </w:p>
    <w:p w14:paraId="7F3E96A1" w14:textId="61F4C490" w:rsidR="001D3BAE" w:rsidRPr="00443E21" w:rsidRDefault="001D3BAE" w:rsidP="003C564C">
      <w:pPr>
        <w:pStyle w:val="Akapitzlist"/>
        <w:numPr>
          <w:ilvl w:val="1"/>
          <w:numId w:val="3"/>
        </w:numPr>
        <w:ind w:left="1077" w:hanging="357"/>
        <w:rPr>
          <w:rFonts w:ascii="Cambria" w:hAnsi="Cambria"/>
          <w:color w:val="000000" w:themeColor="text1"/>
          <w:szCs w:val="22"/>
        </w:rPr>
      </w:pPr>
      <w:r w:rsidRPr="00443E21">
        <w:rPr>
          <w:rFonts w:ascii="Cambria" w:hAnsi="Cambria"/>
          <w:color w:val="000000" w:themeColor="text1"/>
          <w:szCs w:val="22"/>
        </w:rPr>
        <w:t>zakłóceń w dostarczaniu gazu ziemnego do systemu gazowego,</w:t>
      </w:r>
    </w:p>
    <w:p w14:paraId="1F25ACB4" w14:textId="30E9C76F" w:rsidR="001D3BAE" w:rsidRPr="00443E21" w:rsidRDefault="001D3BAE" w:rsidP="003C564C">
      <w:pPr>
        <w:pStyle w:val="Akapitzlist"/>
        <w:numPr>
          <w:ilvl w:val="1"/>
          <w:numId w:val="3"/>
        </w:numPr>
        <w:ind w:left="1077" w:hanging="357"/>
        <w:rPr>
          <w:rFonts w:ascii="Cambria" w:hAnsi="Cambria"/>
          <w:color w:val="000000" w:themeColor="text1"/>
          <w:szCs w:val="22"/>
        </w:rPr>
      </w:pPr>
      <w:r w:rsidRPr="00443E21">
        <w:rPr>
          <w:rFonts w:ascii="Cambria" w:hAnsi="Cambria"/>
          <w:color w:val="000000" w:themeColor="text1"/>
          <w:szCs w:val="22"/>
        </w:rPr>
        <w:t>gwałtownego, nieprzewidzianego uszkodzenia lub zniszczenia urządzeń, instalacji lub sieci, powodującego przerwę w ich używaniu lub utratę ich właściwości zagrażającą bezpieczeństwu funkcjonowania systemu gazowego,</w:t>
      </w:r>
    </w:p>
    <w:p w14:paraId="035F45F1" w14:textId="67F06E4B" w:rsidR="001D3BAE" w:rsidRPr="00443E21" w:rsidRDefault="001D3BAE" w:rsidP="003C564C">
      <w:pPr>
        <w:pStyle w:val="Akapitzlist"/>
        <w:numPr>
          <w:ilvl w:val="1"/>
          <w:numId w:val="3"/>
        </w:numPr>
        <w:ind w:left="1077" w:hanging="357"/>
        <w:rPr>
          <w:rFonts w:ascii="Cambria" w:hAnsi="Cambria"/>
          <w:color w:val="000000" w:themeColor="text1"/>
          <w:szCs w:val="22"/>
        </w:rPr>
      </w:pPr>
      <w:r w:rsidRPr="00443E21">
        <w:rPr>
          <w:rFonts w:ascii="Cambria" w:hAnsi="Cambria"/>
          <w:color w:val="000000" w:themeColor="text1"/>
          <w:szCs w:val="22"/>
        </w:rPr>
        <w:lastRenderedPageBreak/>
        <w:t>nieprzewidzianego wzrostu zużycia gazu ziemnego</w:t>
      </w:r>
    </w:p>
    <w:p w14:paraId="0BF781AF" w14:textId="790AEC24" w:rsidR="001D3BAE" w:rsidRPr="00443E21" w:rsidRDefault="001D3BAE" w:rsidP="003C564C">
      <w:pPr>
        <w:pStyle w:val="Akapitzlist"/>
        <w:rPr>
          <w:rFonts w:ascii="Cambria" w:hAnsi="Cambria"/>
          <w:color w:val="000000" w:themeColor="text1"/>
          <w:szCs w:val="22"/>
        </w:rPr>
      </w:pPr>
      <w:r w:rsidRPr="00443E21">
        <w:rPr>
          <w:rFonts w:ascii="Cambria" w:hAnsi="Cambria"/>
          <w:color w:val="000000" w:themeColor="text1"/>
          <w:szCs w:val="22"/>
        </w:rPr>
        <w:t>- biorąc pod uwagę konieczność zapewnienia nieprzerwanych dostaw gazu ziemnego do odbiorców.</w:t>
      </w:r>
    </w:p>
    <w:p w14:paraId="08B88810" w14:textId="598C08A2" w:rsidR="009821C0" w:rsidRPr="005E2E65" w:rsidRDefault="009821C0" w:rsidP="00F45E9B">
      <w:pPr>
        <w:pStyle w:val="Akapitzlist"/>
        <w:numPr>
          <w:ilvl w:val="2"/>
          <w:numId w:val="18"/>
        </w:numPr>
        <w:rPr>
          <w:rFonts w:ascii="Cambria" w:hAnsi="Cambria"/>
          <w:szCs w:val="22"/>
        </w:rPr>
      </w:pPr>
      <w:r w:rsidRPr="005E2E65">
        <w:rPr>
          <w:rFonts w:ascii="Cambria" w:hAnsi="Cambria"/>
          <w:szCs w:val="22"/>
        </w:rPr>
        <w:t>Ograniczenia polegają na ograniczeniu maksymalnego godzinowego i dobowego poboru gazu ziemnego.</w:t>
      </w:r>
    </w:p>
    <w:p w14:paraId="5FAD176E" w14:textId="59CBF59F" w:rsidR="00C0649E" w:rsidRPr="00F45E9B" w:rsidRDefault="00C0649E" w:rsidP="00C0649E">
      <w:pPr>
        <w:pStyle w:val="Akapitzlist"/>
        <w:numPr>
          <w:ilvl w:val="2"/>
          <w:numId w:val="18"/>
        </w:numPr>
        <w:rPr>
          <w:rFonts w:ascii="Cambria" w:hAnsi="Cambria"/>
          <w:szCs w:val="22"/>
        </w:rPr>
      </w:pPr>
      <w:r w:rsidRPr="00F45E9B">
        <w:rPr>
          <w:rFonts w:ascii="Cambria" w:hAnsi="Cambria"/>
          <w:szCs w:val="22"/>
        </w:rPr>
        <w:t>Rada Ministrów, na wniosek ministra właściwego do s</w:t>
      </w:r>
      <w:r>
        <w:rPr>
          <w:rFonts w:ascii="Cambria" w:hAnsi="Cambria"/>
          <w:szCs w:val="22"/>
        </w:rPr>
        <w:t>praw energii może wprowadzić, w </w:t>
      </w:r>
      <w:r w:rsidRPr="00F45E9B">
        <w:rPr>
          <w:rFonts w:ascii="Cambria" w:hAnsi="Cambria"/>
          <w:szCs w:val="22"/>
        </w:rPr>
        <w:t>drodze rozporządzenia, na czas oznaczony, na terytorium Rzeczypospolitej Polskiej lub jego części ograniczenia, biorąc pod uwagę znacz</w:t>
      </w:r>
      <w:r>
        <w:rPr>
          <w:rFonts w:ascii="Cambria" w:hAnsi="Cambria"/>
          <w:szCs w:val="22"/>
        </w:rPr>
        <w:t>enie odbiorców dla gospodarki i </w:t>
      </w:r>
      <w:r w:rsidRPr="00F45E9B">
        <w:rPr>
          <w:rFonts w:ascii="Cambria" w:hAnsi="Cambria"/>
          <w:szCs w:val="22"/>
        </w:rPr>
        <w:t>funkcjonowania państwa, w szczególności zadania wykonywane przez tych odbiorców oraz okres, na jaki będą wprowadzane te ograniczenia.</w:t>
      </w:r>
    </w:p>
    <w:p w14:paraId="2F0D5905" w14:textId="009AB2F3" w:rsidR="009D29B3" w:rsidRPr="005E2E65" w:rsidRDefault="009D29B3" w:rsidP="00F45E9B">
      <w:pPr>
        <w:pStyle w:val="Akapitzlist"/>
        <w:numPr>
          <w:ilvl w:val="2"/>
          <w:numId w:val="18"/>
        </w:numPr>
        <w:rPr>
          <w:rFonts w:ascii="Cambria" w:hAnsi="Cambria"/>
          <w:szCs w:val="22"/>
        </w:rPr>
      </w:pPr>
      <w:r w:rsidRPr="005E2E65">
        <w:rPr>
          <w:rFonts w:ascii="Cambria" w:hAnsi="Cambria"/>
          <w:szCs w:val="22"/>
        </w:rPr>
        <w:t xml:space="preserve">Minister właściwy do spraw energii sporządza wniosek, o którym mowa w </w:t>
      </w:r>
      <w:r w:rsidR="00C0649E">
        <w:rPr>
          <w:rFonts w:ascii="Cambria" w:hAnsi="Cambria"/>
          <w:szCs w:val="22"/>
        </w:rPr>
        <w:t>pkt 1.2.4. z </w:t>
      </w:r>
      <w:r w:rsidRPr="005E2E65">
        <w:rPr>
          <w:rFonts w:ascii="Cambria" w:hAnsi="Cambria"/>
          <w:szCs w:val="22"/>
        </w:rPr>
        <w:t>własnej inicjatywy lub na podstawie zgłoszenia operatora systemu przesyłowego gazowego lub operatora systemów połączonych gazowych</w:t>
      </w:r>
      <w:r w:rsidR="00C0649E">
        <w:rPr>
          <w:rFonts w:ascii="Cambria" w:hAnsi="Cambria"/>
          <w:szCs w:val="22"/>
        </w:rPr>
        <w:t xml:space="preserve">, </w:t>
      </w:r>
      <w:r w:rsidRPr="005E2E65">
        <w:rPr>
          <w:rFonts w:ascii="Cambria" w:hAnsi="Cambria"/>
          <w:szCs w:val="22"/>
        </w:rPr>
        <w:t>zawierającego:</w:t>
      </w:r>
    </w:p>
    <w:p w14:paraId="76B54C8F" w14:textId="523ED475" w:rsidR="009D29B3" w:rsidRPr="00B072A2" w:rsidRDefault="009D29B3" w:rsidP="003C564C">
      <w:pPr>
        <w:pStyle w:val="Akapitzlist"/>
        <w:numPr>
          <w:ilvl w:val="0"/>
          <w:numId w:val="14"/>
        </w:numPr>
        <w:ind w:left="1077" w:hanging="357"/>
        <w:rPr>
          <w:rFonts w:ascii="Cambria" w:hAnsi="Cambria"/>
          <w:szCs w:val="22"/>
        </w:rPr>
      </w:pPr>
      <w:r w:rsidRPr="00B072A2">
        <w:rPr>
          <w:rFonts w:ascii="Cambria" w:hAnsi="Cambria"/>
          <w:szCs w:val="22"/>
        </w:rPr>
        <w:t>rodzaje gazu ziemnego, dla których wnioskuje się wprowadzenie ograniczeń</w:t>
      </w:r>
      <w:r w:rsidR="005C38E9">
        <w:rPr>
          <w:rFonts w:ascii="Cambria" w:hAnsi="Cambria"/>
          <w:szCs w:val="22"/>
        </w:rPr>
        <w:t>,</w:t>
      </w:r>
    </w:p>
    <w:p w14:paraId="5534E24A" w14:textId="1CC9AA23" w:rsidR="009D29B3" w:rsidRPr="00B072A2" w:rsidRDefault="009D29B3" w:rsidP="003C564C">
      <w:pPr>
        <w:pStyle w:val="Akapitzlist"/>
        <w:numPr>
          <w:ilvl w:val="0"/>
          <w:numId w:val="14"/>
        </w:numPr>
        <w:ind w:left="1077" w:hanging="357"/>
        <w:rPr>
          <w:rFonts w:ascii="Cambria" w:hAnsi="Cambria"/>
          <w:szCs w:val="22"/>
        </w:rPr>
      </w:pPr>
      <w:r w:rsidRPr="00B072A2">
        <w:rPr>
          <w:rFonts w:ascii="Cambria" w:hAnsi="Cambria"/>
          <w:szCs w:val="22"/>
        </w:rPr>
        <w:t>prognozowany efekt wprowadzenia ograniczeń</w:t>
      </w:r>
      <w:r w:rsidR="005C38E9">
        <w:rPr>
          <w:rFonts w:ascii="Cambria" w:hAnsi="Cambria"/>
          <w:szCs w:val="22"/>
        </w:rPr>
        <w:t>,</w:t>
      </w:r>
    </w:p>
    <w:p w14:paraId="118C395B" w14:textId="722BD61E" w:rsidR="009D29B3" w:rsidRDefault="009D29B3" w:rsidP="003C564C">
      <w:pPr>
        <w:pStyle w:val="Akapitzlist"/>
        <w:numPr>
          <w:ilvl w:val="0"/>
          <w:numId w:val="14"/>
        </w:numPr>
        <w:ind w:left="1077" w:hanging="357"/>
        <w:rPr>
          <w:rFonts w:ascii="Cambria" w:hAnsi="Cambria"/>
          <w:szCs w:val="22"/>
        </w:rPr>
      </w:pPr>
      <w:r w:rsidRPr="00B072A2">
        <w:rPr>
          <w:rFonts w:ascii="Cambria" w:hAnsi="Cambria"/>
          <w:szCs w:val="22"/>
        </w:rPr>
        <w:t>proponowany czas trwania wnioskowanych ograniczeń</w:t>
      </w:r>
      <w:r w:rsidR="005C38E9">
        <w:rPr>
          <w:rFonts w:ascii="Cambria" w:hAnsi="Cambria"/>
          <w:szCs w:val="22"/>
        </w:rPr>
        <w:t>,</w:t>
      </w:r>
    </w:p>
    <w:p w14:paraId="1CC984A0" w14:textId="6C7DD5F5" w:rsidR="0013394D" w:rsidRPr="00B072A2" w:rsidRDefault="0013394D" w:rsidP="003C564C">
      <w:pPr>
        <w:pStyle w:val="Akapitzlist"/>
        <w:numPr>
          <w:ilvl w:val="0"/>
          <w:numId w:val="14"/>
        </w:numPr>
        <w:ind w:left="1077" w:hanging="357"/>
        <w:rPr>
          <w:rFonts w:ascii="Cambria" w:hAnsi="Cambria"/>
          <w:szCs w:val="22"/>
        </w:rPr>
      </w:pPr>
      <w:r w:rsidRPr="00B072A2">
        <w:rPr>
          <w:rFonts w:ascii="Cambria" w:hAnsi="Cambria"/>
          <w:szCs w:val="22"/>
        </w:rPr>
        <w:t>określenie obszaru, na którym powinny być wprowadzone ograniczenia</w:t>
      </w:r>
      <w:r>
        <w:rPr>
          <w:rFonts w:ascii="Cambria" w:hAnsi="Cambria"/>
          <w:szCs w:val="22"/>
        </w:rPr>
        <w:t>.</w:t>
      </w:r>
    </w:p>
    <w:p w14:paraId="263E5524" w14:textId="3A02B253" w:rsidR="00266294" w:rsidRPr="00F45E9B" w:rsidRDefault="00266294" w:rsidP="00F45E9B">
      <w:pPr>
        <w:pStyle w:val="Akapitzlist"/>
        <w:numPr>
          <w:ilvl w:val="2"/>
          <w:numId w:val="18"/>
        </w:numPr>
        <w:rPr>
          <w:rFonts w:ascii="Cambria" w:hAnsi="Cambria"/>
          <w:szCs w:val="22"/>
        </w:rPr>
      </w:pPr>
      <w:r w:rsidRPr="00F45E9B">
        <w:rPr>
          <w:rFonts w:ascii="Cambria" w:hAnsi="Cambria"/>
          <w:szCs w:val="22"/>
        </w:rPr>
        <w:t>Ograniczenia wprowadzane są w sposób, który zapewnia bezpieczne funkcjonowanie systemu gazowego oraz gwarantuje bezpieczeństwo osób oraz uniknięcie ryzyka uszkodzenia lub zniszczenia obiektów technologicznych przez umożliwienie odbiorcom dostosowania działania ich instalacji gazowych do zmniejszonego poboru gazu ziemnego.</w:t>
      </w:r>
    </w:p>
    <w:p w14:paraId="6A8F318E" w14:textId="59352E1E" w:rsidR="00197341" w:rsidRDefault="00197341" w:rsidP="00F45E9B">
      <w:pPr>
        <w:pStyle w:val="Akapitzlist"/>
        <w:numPr>
          <w:ilvl w:val="2"/>
          <w:numId w:val="18"/>
        </w:numPr>
        <w:rPr>
          <w:rFonts w:ascii="Cambria" w:hAnsi="Cambria"/>
          <w:szCs w:val="22"/>
        </w:rPr>
      </w:pPr>
      <w:r w:rsidRPr="00F45E9B">
        <w:rPr>
          <w:rFonts w:ascii="Cambria" w:hAnsi="Cambria"/>
          <w:szCs w:val="22"/>
        </w:rPr>
        <w:t>Ograniczenia są realizowane przez odbiorców stosownie do komunikatów operator</w:t>
      </w:r>
      <w:r w:rsidR="00031DFD" w:rsidRPr="00F45E9B">
        <w:rPr>
          <w:rFonts w:ascii="Cambria" w:hAnsi="Cambria"/>
          <w:szCs w:val="22"/>
        </w:rPr>
        <w:t>a</w:t>
      </w:r>
      <w:r w:rsidRPr="00F45E9B">
        <w:rPr>
          <w:rFonts w:ascii="Cambria" w:hAnsi="Cambria"/>
          <w:szCs w:val="22"/>
        </w:rPr>
        <w:t xml:space="preserve"> system</w:t>
      </w:r>
      <w:r w:rsidR="00031DFD" w:rsidRPr="00F45E9B">
        <w:rPr>
          <w:rFonts w:ascii="Cambria" w:hAnsi="Cambria"/>
          <w:szCs w:val="22"/>
        </w:rPr>
        <w:t>u</w:t>
      </w:r>
      <w:r w:rsidRPr="00F45E9B">
        <w:rPr>
          <w:rFonts w:ascii="Cambria" w:hAnsi="Cambria"/>
          <w:szCs w:val="22"/>
        </w:rPr>
        <w:t xml:space="preserve"> przesyłow</w:t>
      </w:r>
      <w:r w:rsidR="00031DFD" w:rsidRPr="00F45E9B">
        <w:rPr>
          <w:rFonts w:ascii="Cambria" w:hAnsi="Cambria"/>
          <w:szCs w:val="22"/>
        </w:rPr>
        <w:t>ego</w:t>
      </w:r>
      <w:r w:rsidRPr="00F45E9B">
        <w:rPr>
          <w:rFonts w:ascii="Cambria" w:hAnsi="Cambria"/>
          <w:szCs w:val="22"/>
        </w:rPr>
        <w:t xml:space="preserve"> gazow</w:t>
      </w:r>
      <w:r w:rsidR="00031DFD" w:rsidRPr="00F45E9B">
        <w:rPr>
          <w:rFonts w:ascii="Cambria" w:hAnsi="Cambria"/>
          <w:szCs w:val="22"/>
        </w:rPr>
        <w:t>ego</w:t>
      </w:r>
      <w:r w:rsidRPr="00F45E9B">
        <w:rPr>
          <w:rFonts w:ascii="Cambria" w:hAnsi="Cambria"/>
          <w:szCs w:val="22"/>
        </w:rPr>
        <w:t xml:space="preserve"> lub operatorów systemów poł</w:t>
      </w:r>
      <w:r w:rsidR="00031DFD" w:rsidRPr="00F45E9B">
        <w:rPr>
          <w:rFonts w:ascii="Cambria" w:hAnsi="Cambria"/>
          <w:szCs w:val="22"/>
        </w:rPr>
        <w:t>ączonych gazowych. Komunikaty o </w:t>
      </w:r>
      <w:r w:rsidRPr="00F45E9B">
        <w:rPr>
          <w:rFonts w:ascii="Cambria" w:hAnsi="Cambria"/>
          <w:szCs w:val="22"/>
        </w:rPr>
        <w:t>obowiązujących w najbliższych 12 godzinach stopniach zasilania oraz o przewidywanych na następne 12 godzin stopniach zasilana są ogłaszane w radiowych komunikatach energetycznych w programie I Polskiego Radia</w:t>
      </w:r>
      <w:r w:rsidR="00AE5EC1" w:rsidRPr="00F45E9B">
        <w:rPr>
          <w:rFonts w:ascii="Cambria" w:hAnsi="Cambria"/>
          <w:szCs w:val="22"/>
        </w:rPr>
        <w:t xml:space="preserve"> oraz na stronach internetowych tych Operatorów</w:t>
      </w:r>
      <w:r w:rsidRPr="00F45E9B">
        <w:rPr>
          <w:rFonts w:ascii="Cambria" w:hAnsi="Cambria"/>
          <w:szCs w:val="22"/>
        </w:rPr>
        <w:t>. Komunikaty są ogłaszane co najmniej 10 godzin przed wprowadzeniem danego stopnia zasilania i zawierają informację o godzinie rozpoczęcia obowiązywania tego stopnia, przy czym komunikaty o stopniach zasilania obowiązujących:</w:t>
      </w:r>
    </w:p>
    <w:p w14:paraId="126CF4B9" w14:textId="34C5DF29" w:rsidR="00197341" w:rsidRDefault="00197341" w:rsidP="00F45E9B">
      <w:pPr>
        <w:pStyle w:val="Akapitzlist"/>
        <w:numPr>
          <w:ilvl w:val="0"/>
          <w:numId w:val="17"/>
        </w:numPr>
        <w:rPr>
          <w:rFonts w:ascii="Cambria" w:hAnsi="Cambria"/>
          <w:szCs w:val="22"/>
        </w:rPr>
      </w:pPr>
      <w:r w:rsidRPr="00F45E9B">
        <w:rPr>
          <w:rFonts w:ascii="Cambria" w:hAnsi="Cambria"/>
          <w:szCs w:val="22"/>
        </w:rPr>
        <w:t>od godziny 6.00 do godziny 18.00 danej doby - ogłaszane są najpóźniej do godziny 20.00 doby poprzedniej</w:t>
      </w:r>
      <w:r w:rsidR="005C38E9">
        <w:rPr>
          <w:rFonts w:ascii="Cambria" w:hAnsi="Cambria"/>
          <w:szCs w:val="22"/>
        </w:rPr>
        <w:t>,</w:t>
      </w:r>
    </w:p>
    <w:p w14:paraId="78F51267" w14:textId="7A8A1962" w:rsidR="00197341" w:rsidRPr="00F45E9B" w:rsidRDefault="00197341" w:rsidP="00F45E9B">
      <w:pPr>
        <w:pStyle w:val="Akapitzlist"/>
        <w:numPr>
          <w:ilvl w:val="0"/>
          <w:numId w:val="17"/>
        </w:numPr>
        <w:rPr>
          <w:rFonts w:ascii="Cambria" w:hAnsi="Cambria"/>
          <w:szCs w:val="22"/>
        </w:rPr>
      </w:pPr>
      <w:r w:rsidRPr="00F45E9B">
        <w:rPr>
          <w:rFonts w:ascii="Cambria" w:hAnsi="Cambria"/>
          <w:szCs w:val="22"/>
        </w:rPr>
        <w:t>od godziny 18.00 danej doby do godziny 6.00 doby następnej - ogłaszane są najpóźniej do godziny 8.00 danej doby.</w:t>
      </w:r>
    </w:p>
    <w:p w14:paraId="2679B247" w14:textId="5A810E26" w:rsidR="0076677F" w:rsidRPr="00F45E9B" w:rsidRDefault="0076677F" w:rsidP="002642A3">
      <w:pPr>
        <w:pStyle w:val="Akapitzlist"/>
        <w:numPr>
          <w:ilvl w:val="2"/>
          <w:numId w:val="18"/>
        </w:numPr>
        <w:rPr>
          <w:rFonts w:ascii="Cambria" w:hAnsi="Cambria"/>
          <w:szCs w:val="22"/>
        </w:rPr>
      </w:pPr>
      <w:r w:rsidRPr="00F45E9B">
        <w:rPr>
          <w:rFonts w:ascii="Cambria" w:hAnsi="Cambria"/>
          <w:szCs w:val="22"/>
        </w:rPr>
        <w:lastRenderedPageBreak/>
        <w:t>Plan ograniczeń opracowywany jest przez operatora systemu przesyłowego gazowego, operatora systemu dystrybucyjnego gazowego oraz operatora systemu połączonego gazowego lub przedsiębiorstwo energetyczne pełniące funkcję operatora na podstawie danych własnych oraz informacji przekazanych przez odbiorców, w tym na podstawie instrukcji ruchu i eksploatacji sieci przesyłowej lub instrukcji ruchu i eksploatacji sieci dystrybucyjnej, o których mowa w art. 9g ust. 1</w:t>
      </w:r>
      <w:r w:rsidR="002642A3" w:rsidRPr="002642A3">
        <w:t xml:space="preserve"> </w:t>
      </w:r>
      <w:r w:rsidR="002642A3">
        <w:rPr>
          <w:rFonts w:ascii="Cambria" w:hAnsi="Cambria"/>
          <w:szCs w:val="22"/>
        </w:rPr>
        <w:t>u</w:t>
      </w:r>
      <w:r w:rsidR="002642A3" w:rsidRPr="002642A3">
        <w:rPr>
          <w:rFonts w:ascii="Cambria" w:hAnsi="Cambria"/>
          <w:szCs w:val="22"/>
        </w:rPr>
        <w:t>staw</w:t>
      </w:r>
      <w:r w:rsidR="002642A3">
        <w:rPr>
          <w:rFonts w:ascii="Cambria" w:hAnsi="Cambria"/>
          <w:szCs w:val="22"/>
        </w:rPr>
        <w:t>y</w:t>
      </w:r>
      <w:r w:rsidR="002642A3" w:rsidRPr="002642A3">
        <w:rPr>
          <w:rFonts w:ascii="Cambria" w:hAnsi="Cambria"/>
          <w:szCs w:val="22"/>
        </w:rPr>
        <w:t xml:space="preserve"> z dnia 10 kwietnia 1997 r. – Prawo energetyczne (Dz. U. z 202</w:t>
      </w:r>
      <w:r w:rsidR="0023099F">
        <w:rPr>
          <w:rFonts w:ascii="Cambria" w:hAnsi="Cambria"/>
          <w:szCs w:val="22"/>
        </w:rPr>
        <w:t>2</w:t>
      </w:r>
      <w:r w:rsidR="002642A3" w:rsidRPr="002642A3">
        <w:rPr>
          <w:rFonts w:ascii="Cambria" w:hAnsi="Cambria"/>
          <w:szCs w:val="22"/>
        </w:rPr>
        <w:t xml:space="preserve"> r. poz. </w:t>
      </w:r>
      <w:r w:rsidR="0023099F">
        <w:rPr>
          <w:rFonts w:ascii="Cambria" w:hAnsi="Cambria"/>
          <w:szCs w:val="22"/>
        </w:rPr>
        <w:t>1385</w:t>
      </w:r>
      <w:r w:rsidR="002642A3" w:rsidRPr="002642A3">
        <w:rPr>
          <w:rFonts w:ascii="Cambria" w:hAnsi="Cambria"/>
          <w:szCs w:val="22"/>
        </w:rPr>
        <w:t xml:space="preserve"> z </w:t>
      </w:r>
      <w:proofErr w:type="spellStart"/>
      <w:r w:rsidR="002642A3" w:rsidRPr="002642A3">
        <w:rPr>
          <w:rFonts w:ascii="Cambria" w:hAnsi="Cambria"/>
          <w:szCs w:val="22"/>
        </w:rPr>
        <w:t>późn</w:t>
      </w:r>
      <w:proofErr w:type="spellEnd"/>
      <w:r w:rsidR="002642A3" w:rsidRPr="002642A3">
        <w:rPr>
          <w:rFonts w:ascii="Cambria" w:hAnsi="Cambria"/>
          <w:szCs w:val="22"/>
        </w:rPr>
        <w:t>. zm.)</w:t>
      </w:r>
      <w:r w:rsidR="002642A3">
        <w:rPr>
          <w:rFonts w:ascii="Cambria" w:hAnsi="Cambria"/>
          <w:szCs w:val="22"/>
        </w:rPr>
        <w:t xml:space="preserve"> (dalej: </w:t>
      </w:r>
      <w:proofErr w:type="spellStart"/>
      <w:r w:rsidR="002642A3">
        <w:rPr>
          <w:rFonts w:ascii="Cambria" w:hAnsi="Cambria"/>
          <w:szCs w:val="22"/>
        </w:rPr>
        <w:t>uPe</w:t>
      </w:r>
      <w:proofErr w:type="spellEnd"/>
      <w:r w:rsidR="002642A3">
        <w:rPr>
          <w:rFonts w:ascii="Cambria" w:hAnsi="Cambria"/>
          <w:szCs w:val="22"/>
        </w:rPr>
        <w:t>)</w:t>
      </w:r>
      <w:r w:rsidR="002642A3" w:rsidRPr="002642A3">
        <w:rPr>
          <w:rFonts w:ascii="Cambria" w:hAnsi="Cambria"/>
          <w:szCs w:val="22"/>
        </w:rPr>
        <w:t xml:space="preserve"> </w:t>
      </w:r>
      <w:r w:rsidRPr="00F45E9B">
        <w:rPr>
          <w:rFonts w:ascii="Cambria" w:hAnsi="Cambria"/>
          <w:szCs w:val="22"/>
        </w:rPr>
        <w:t>i składa się z dwóch części.</w:t>
      </w:r>
    </w:p>
    <w:p w14:paraId="1E58766B" w14:textId="4F007436" w:rsidR="002B4920" w:rsidRPr="00F45E9B" w:rsidRDefault="002B4920" w:rsidP="00F45E9B">
      <w:pPr>
        <w:pStyle w:val="Akapitzlist"/>
        <w:numPr>
          <w:ilvl w:val="2"/>
          <w:numId w:val="18"/>
        </w:numPr>
        <w:rPr>
          <w:rFonts w:ascii="Cambria" w:hAnsi="Cambria"/>
          <w:szCs w:val="22"/>
        </w:rPr>
      </w:pPr>
      <w:r w:rsidRPr="00F45E9B">
        <w:rPr>
          <w:rFonts w:ascii="Cambria" w:hAnsi="Cambria"/>
          <w:szCs w:val="22"/>
        </w:rPr>
        <w:t>Ujęte w planach ograniczenia określa się w stopniach zasilania od pierwszego do dwunastego dla odbiorców i punktów wyjścia z systemu gazowego, w których pobierają gaz ziemny.</w:t>
      </w:r>
    </w:p>
    <w:p w14:paraId="158F401A" w14:textId="11A01200" w:rsidR="00F20994" w:rsidRDefault="00F20994" w:rsidP="00F45E9B">
      <w:pPr>
        <w:pStyle w:val="Akapitzlist"/>
        <w:numPr>
          <w:ilvl w:val="2"/>
          <w:numId w:val="18"/>
        </w:numPr>
        <w:rPr>
          <w:rFonts w:ascii="Cambria" w:hAnsi="Cambria"/>
          <w:szCs w:val="22"/>
        </w:rPr>
      </w:pPr>
      <w:r w:rsidRPr="00F45E9B">
        <w:rPr>
          <w:rFonts w:ascii="Cambria" w:hAnsi="Cambria"/>
          <w:szCs w:val="22"/>
        </w:rPr>
        <w:t xml:space="preserve">Ograniczenia określone w stopniach zasilania od pierwszego do jedenastego mają zastosowanie do wszystkich odbiorców gazu ziemnego, z wyjątkiem odbiorców chronionych </w:t>
      </w:r>
      <w:r w:rsidR="00BB5781" w:rsidRPr="00F45E9B">
        <w:rPr>
          <w:rFonts w:ascii="Cambria" w:hAnsi="Cambria"/>
          <w:szCs w:val="22"/>
        </w:rPr>
        <w:t>o których mowa</w:t>
      </w:r>
      <w:r w:rsidRPr="00F45E9B">
        <w:rPr>
          <w:rFonts w:ascii="Cambria" w:hAnsi="Cambria"/>
          <w:szCs w:val="22"/>
        </w:rPr>
        <w:t xml:space="preserve"> w </w:t>
      </w:r>
      <w:r w:rsidRPr="00F45E9B">
        <w:rPr>
          <w:rFonts w:ascii="Cambria" w:hAnsi="Cambria" w:cs="Arial"/>
          <w:szCs w:val="22"/>
        </w:rPr>
        <w:t>§</w:t>
      </w:r>
      <w:r w:rsidRPr="00F45E9B">
        <w:rPr>
          <w:rFonts w:ascii="Cambria" w:hAnsi="Cambria"/>
          <w:szCs w:val="22"/>
        </w:rPr>
        <w:t xml:space="preserve"> 4 ust. 1 pkt 1-13</w:t>
      </w:r>
      <w:r w:rsidR="007B5A54" w:rsidRPr="00F45E9B">
        <w:rPr>
          <w:rFonts w:ascii="Cambria" w:hAnsi="Cambria"/>
          <w:szCs w:val="22"/>
        </w:rPr>
        <w:t xml:space="preserve"> </w:t>
      </w:r>
      <w:r w:rsidR="00AE5EC1" w:rsidRPr="00F45E9B">
        <w:rPr>
          <w:rFonts w:ascii="Cambria" w:hAnsi="Cambria"/>
          <w:szCs w:val="22"/>
        </w:rPr>
        <w:t>r</w:t>
      </w:r>
      <w:r w:rsidR="007B5A54" w:rsidRPr="00F45E9B">
        <w:rPr>
          <w:rFonts w:ascii="Cambria" w:hAnsi="Cambria"/>
          <w:szCs w:val="22"/>
        </w:rPr>
        <w:t>ozporządzenia</w:t>
      </w:r>
      <w:r w:rsidRPr="00F45E9B">
        <w:rPr>
          <w:rFonts w:ascii="Cambria" w:hAnsi="Cambria"/>
          <w:szCs w:val="22"/>
        </w:rPr>
        <w:t>.</w:t>
      </w:r>
    </w:p>
    <w:p w14:paraId="5D7CEEF8" w14:textId="413A7829" w:rsidR="00BB5781" w:rsidRPr="008205B5" w:rsidRDefault="00BB5781" w:rsidP="008205B5">
      <w:pPr>
        <w:pStyle w:val="Akapitzlist"/>
        <w:numPr>
          <w:ilvl w:val="2"/>
          <w:numId w:val="18"/>
        </w:numPr>
        <w:rPr>
          <w:rFonts w:ascii="Cambria" w:hAnsi="Cambria"/>
          <w:szCs w:val="22"/>
        </w:rPr>
      </w:pPr>
      <w:r w:rsidRPr="008205B5">
        <w:rPr>
          <w:rFonts w:ascii="Cambria" w:hAnsi="Cambria"/>
          <w:szCs w:val="22"/>
        </w:rPr>
        <w:t xml:space="preserve">Ograniczenia określone w dwunastym stopniu zasilania mają zastosowanie do wszystkich odbiorców gazu ziemnego, z wyjątkiem odbiorców chronionych, </w:t>
      </w:r>
      <w:r w:rsidRPr="008205B5">
        <w:rPr>
          <w:rFonts w:ascii="Cambria" w:hAnsi="Cambria"/>
          <w:color w:val="000000" w:themeColor="text1"/>
          <w:szCs w:val="22"/>
        </w:rPr>
        <w:t>o których mowa w</w:t>
      </w:r>
      <w:r w:rsidR="00BB5035">
        <w:rPr>
          <w:rFonts w:ascii="Cambria" w:hAnsi="Cambria"/>
          <w:color w:val="000000" w:themeColor="text1"/>
          <w:szCs w:val="22"/>
        </w:rPr>
        <w:t xml:space="preserve"> rozporządzeniu w § 4</w:t>
      </w:r>
      <w:r w:rsidRPr="008205B5">
        <w:rPr>
          <w:rFonts w:ascii="Cambria" w:hAnsi="Cambria"/>
          <w:color w:val="000000" w:themeColor="text1"/>
          <w:szCs w:val="22"/>
        </w:rPr>
        <w:t>:</w:t>
      </w:r>
    </w:p>
    <w:p w14:paraId="21019050" w14:textId="24CBA89F" w:rsidR="00BB5781" w:rsidRDefault="00BB5781" w:rsidP="00ED75F3">
      <w:pPr>
        <w:pStyle w:val="Akapitzlist"/>
        <w:numPr>
          <w:ilvl w:val="0"/>
          <w:numId w:val="20"/>
        </w:numPr>
        <w:rPr>
          <w:rFonts w:ascii="Cambria" w:hAnsi="Cambria"/>
          <w:szCs w:val="22"/>
        </w:rPr>
      </w:pPr>
      <w:r w:rsidRPr="00ED75F3">
        <w:rPr>
          <w:rFonts w:ascii="Cambria" w:hAnsi="Cambria"/>
          <w:szCs w:val="22"/>
        </w:rPr>
        <w:t>ust. 1 pkt 1, 3-7 i 10-12</w:t>
      </w:r>
      <w:r w:rsidR="005C38E9">
        <w:rPr>
          <w:rFonts w:ascii="Cambria" w:hAnsi="Cambria"/>
          <w:szCs w:val="22"/>
        </w:rPr>
        <w:t>,</w:t>
      </w:r>
    </w:p>
    <w:p w14:paraId="2CBB3C6C" w14:textId="47529391" w:rsidR="00ED75F3" w:rsidRPr="00ED75F3" w:rsidRDefault="00BB5781" w:rsidP="00ED75F3">
      <w:pPr>
        <w:pStyle w:val="Akapitzlist"/>
        <w:numPr>
          <w:ilvl w:val="0"/>
          <w:numId w:val="20"/>
        </w:numPr>
        <w:rPr>
          <w:rFonts w:ascii="Cambria" w:hAnsi="Cambria"/>
          <w:szCs w:val="22"/>
        </w:rPr>
      </w:pPr>
      <w:r w:rsidRPr="00ED75F3">
        <w:rPr>
          <w:rFonts w:ascii="Cambria" w:hAnsi="Cambria"/>
          <w:szCs w:val="22"/>
        </w:rPr>
        <w:t>ust. 1 pkt 13, w zakresie, w jakim zajmują się wytwarzaniem ciepła dla odbiorcy, o którym mowa w ust. 1 pkt 1, 3-7 i 10-12, pobierającego ciepło w okresie od dnia 1 września do dnia 31 maja na potrzeby centralnego ogrzewania, ciepłej wody użytkowej, wentylacji oraz technologii w postaci pary i wody gorącej, lub zaopatrywaniem w ciepło tego odbiorcy, pod warunkiem że instalacji tych odbiorców gazu ziemnego nie można zasilać paliwem innym niż gaz ziemny.</w:t>
      </w:r>
    </w:p>
    <w:p w14:paraId="7F359458" w14:textId="00BF386A" w:rsidR="000A13CF" w:rsidRDefault="000A13CF" w:rsidP="009C1715">
      <w:pPr>
        <w:pStyle w:val="Akapitzlist"/>
        <w:numPr>
          <w:ilvl w:val="2"/>
          <w:numId w:val="18"/>
        </w:numPr>
        <w:rPr>
          <w:rFonts w:ascii="Cambria" w:hAnsi="Cambria"/>
          <w:szCs w:val="22"/>
        </w:rPr>
      </w:pPr>
      <w:r w:rsidRPr="009C1715">
        <w:rPr>
          <w:rFonts w:ascii="Cambria" w:hAnsi="Cambria"/>
          <w:szCs w:val="22"/>
        </w:rPr>
        <w:t>Operator systemu gazowego lub przedsiębiorstwo energetyczne pełniące funkcję operatora systemu gazowego, w terminie 14 dni od dnia otrzymania decyzji Prezesa Urzędu Regulacji Energetyki o zatwierdzeniu planu, przekazuje informacje o:</w:t>
      </w:r>
    </w:p>
    <w:p w14:paraId="45890375" w14:textId="570EBAB9" w:rsidR="000A13CF" w:rsidRDefault="000A13CF" w:rsidP="009C1715">
      <w:pPr>
        <w:pStyle w:val="Akapitzlist"/>
        <w:numPr>
          <w:ilvl w:val="0"/>
          <w:numId w:val="11"/>
        </w:numPr>
        <w:rPr>
          <w:rFonts w:ascii="Cambria" w:hAnsi="Cambria"/>
          <w:szCs w:val="22"/>
        </w:rPr>
      </w:pPr>
      <w:r w:rsidRPr="009C1715">
        <w:rPr>
          <w:rFonts w:ascii="Cambria" w:hAnsi="Cambria"/>
          <w:szCs w:val="22"/>
        </w:rPr>
        <w:t>maksymalnych godzinowych i dobowych i</w:t>
      </w:r>
      <w:r w:rsidR="008146B5" w:rsidRPr="009C1715">
        <w:rPr>
          <w:rFonts w:ascii="Cambria" w:hAnsi="Cambria"/>
          <w:szCs w:val="22"/>
        </w:rPr>
        <w:t>lościach poboru gazu ziemnego w </w:t>
      </w:r>
      <w:r w:rsidRPr="009C1715">
        <w:rPr>
          <w:rFonts w:ascii="Cambria" w:hAnsi="Cambria"/>
          <w:szCs w:val="22"/>
        </w:rPr>
        <w:t xml:space="preserve">poszczególnych stopniach zasilania: </w:t>
      </w:r>
    </w:p>
    <w:p w14:paraId="7B2C8237" w14:textId="77777777" w:rsidR="009C1715" w:rsidRDefault="000A13CF" w:rsidP="009C1715">
      <w:pPr>
        <w:pStyle w:val="Akapitzlist"/>
        <w:numPr>
          <w:ilvl w:val="0"/>
          <w:numId w:val="21"/>
        </w:numPr>
        <w:rPr>
          <w:rFonts w:ascii="Cambria" w:hAnsi="Cambria"/>
          <w:szCs w:val="22"/>
        </w:rPr>
      </w:pPr>
      <w:r w:rsidRPr="009C1715">
        <w:rPr>
          <w:rFonts w:ascii="Cambria" w:hAnsi="Cambria"/>
          <w:szCs w:val="22"/>
        </w:rPr>
        <w:t>odbiorcy uwzględnionym w drugiej części planu, w zakresie jego dotyczącym,</w:t>
      </w:r>
    </w:p>
    <w:p w14:paraId="0FF6B3B8" w14:textId="363436ED" w:rsidR="000A13CF" w:rsidRPr="009C1715" w:rsidRDefault="000A13CF" w:rsidP="009C1715">
      <w:pPr>
        <w:pStyle w:val="Akapitzlist"/>
        <w:numPr>
          <w:ilvl w:val="0"/>
          <w:numId w:val="21"/>
        </w:numPr>
        <w:rPr>
          <w:rFonts w:ascii="Cambria" w:hAnsi="Cambria"/>
          <w:szCs w:val="22"/>
        </w:rPr>
      </w:pPr>
      <w:r w:rsidRPr="009C1715">
        <w:rPr>
          <w:rFonts w:ascii="Cambria" w:hAnsi="Cambria"/>
          <w:szCs w:val="22"/>
        </w:rPr>
        <w:t xml:space="preserve">przedsiębiorstwom energetycznym prowadzącym działalność gospodarczą polegającą na obrocie gazem ziemnym, w zakresie dotyczącym odbiorców danego przedsiębiorstwa energetycznego; </w:t>
      </w:r>
    </w:p>
    <w:p w14:paraId="06594A2D" w14:textId="7B86BA52" w:rsidR="000A13CF" w:rsidRDefault="000A13CF" w:rsidP="00F45E9B">
      <w:pPr>
        <w:pStyle w:val="Akapitzlist"/>
        <w:numPr>
          <w:ilvl w:val="0"/>
          <w:numId w:val="11"/>
        </w:numPr>
        <w:rPr>
          <w:rFonts w:ascii="Cambria" w:hAnsi="Cambria"/>
          <w:szCs w:val="22"/>
        </w:rPr>
      </w:pPr>
      <w:r w:rsidRPr="00B072A2">
        <w:rPr>
          <w:rFonts w:ascii="Cambria" w:hAnsi="Cambria"/>
          <w:szCs w:val="22"/>
        </w:rPr>
        <w:lastRenderedPageBreak/>
        <w:t xml:space="preserve">możliwości zastosowania zgodnie z § 4 ust. 2 </w:t>
      </w:r>
      <w:r w:rsidR="00966FE0">
        <w:rPr>
          <w:rFonts w:ascii="Cambria" w:hAnsi="Cambria"/>
          <w:szCs w:val="22"/>
        </w:rPr>
        <w:t>r</w:t>
      </w:r>
      <w:r w:rsidRPr="00B072A2">
        <w:rPr>
          <w:rFonts w:ascii="Cambria" w:hAnsi="Cambria"/>
          <w:szCs w:val="22"/>
        </w:rPr>
        <w:t>ozporzą</w:t>
      </w:r>
      <w:r w:rsidR="008146B5">
        <w:rPr>
          <w:rFonts w:ascii="Cambria" w:hAnsi="Cambria"/>
          <w:szCs w:val="22"/>
        </w:rPr>
        <w:t>dzenia ograniczeń określonych w </w:t>
      </w:r>
      <w:r w:rsidRPr="00B072A2">
        <w:rPr>
          <w:rFonts w:ascii="Cambria" w:hAnsi="Cambria"/>
          <w:szCs w:val="22"/>
        </w:rPr>
        <w:t xml:space="preserve">dwunastym stopniu zasilania - odbiorcom, o których mowa w § 4: </w:t>
      </w:r>
    </w:p>
    <w:p w14:paraId="2A7F59E5" w14:textId="1D3F3FC6" w:rsidR="000A13CF" w:rsidRDefault="000A13CF" w:rsidP="00BD378F">
      <w:pPr>
        <w:pStyle w:val="Akapitzlist"/>
        <w:numPr>
          <w:ilvl w:val="0"/>
          <w:numId w:val="22"/>
        </w:numPr>
        <w:rPr>
          <w:rFonts w:ascii="Cambria" w:hAnsi="Cambria"/>
          <w:szCs w:val="22"/>
        </w:rPr>
      </w:pPr>
      <w:r w:rsidRPr="00BD378F">
        <w:rPr>
          <w:rFonts w:ascii="Cambria" w:hAnsi="Cambria"/>
          <w:szCs w:val="22"/>
        </w:rPr>
        <w:t xml:space="preserve">ust. 1 pkt 2, 8 i 9, </w:t>
      </w:r>
    </w:p>
    <w:p w14:paraId="30C74ABD" w14:textId="3E4D4EE6" w:rsidR="000A13CF" w:rsidRPr="00BD378F" w:rsidRDefault="000A13CF" w:rsidP="00BD378F">
      <w:pPr>
        <w:pStyle w:val="Akapitzlist"/>
        <w:numPr>
          <w:ilvl w:val="0"/>
          <w:numId w:val="22"/>
        </w:numPr>
        <w:rPr>
          <w:rFonts w:ascii="Cambria" w:hAnsi="Cambria"/>
          <w:szCs w:val="22"/>
        </w:rPr>
      </w:pPr>
      <w:r w:rsidRPr="00BD378F">
        <w:rPr>
          <w:rFonts w:ascii="Cambria" w:hAnsi="Cambria"/>
          <w:szCs w:val="22"/>
        </w:rPr>
        <w:t>ust. 1 pkt 13, w zakresie, w jakim zajmują się wytwarzaniem ciepła dla odbiorcy, o którym mowa w § 4 ust. 1 pkt 2, 8 i 9, pobierającego ciepło w okresie od dnia 1 września do dnia 31 maja na potrzeby centralnego ogrzewania, ciepłej wody użytkowej, wentylacji oraz technologii w postaci pary i wody gorącej, lub zaopatrywaniem w ciepło tego odbiorcy, pod warunkiem że instalacji tych odbiorców gazu ziemnego nie można zasilać paliwem innym niż gaz ziemny.</w:t>
      </w:r>
    </w:p>
    <w:p w14:paraId="60136D75" w14:textId="278A721E" w:rsidR="008146B5" w:rsidRDefault="008146B5" w:rsidP="00BD378F">
      <w:pPr>
        <w:pStyle w:val="Akapitzlist"/>
        <w:numPr>
          <w:ilvl w:val="2"/>
          <w:numId w:val="18"/>
        </w:numPr>
        <w:rPr>
          <w:rFonts w:ascii="Cambria" w:hAnsi="Cambria"/>
          <w:szCs w:val="22"/>
        </w:rPr>
      </w:pPr>
      <w:r w:rsidRPr="00BD378F">
        <w:rPr>
          <w:rFonts w:ascii="Cambria" w:hAnsi="Cambria"/>
          <w:szCs w:val="22"/>
        </w:rPr>
        <w:t xml:space="preserve">Zgodnie z art. 58 ust. 3 </w:t>
      </w:r>
      <w:r w:rsidR="003204A4" w:rsidRPr="00BD378F">
        <w:rPr>
          <w:rFonts w:ascii="Cambria" w:hAnsi="Cambria"/>
          <w:szCs w:val="22"/>
        </w:rPr>
        <w:t>ustawy o zapasach</w:t>
      </w:r>
      <w:r w:rsidRPr="00BD378F">
        <w:rPr>
          <w:rFonts w:ascii="Cambria" w:hAnsi="Cambria"/>
          <w:szCs w:val="22"/>
        </w:rPr>
        <w:t xml:space="preserve"> wielkości określone w zatwierdzonych planach wprowadzania ograniczeń, stają się integralną częścią umów sprzedaży, umów o świadczenie usług przesyłania lub dystrybucji gazu ziemnego oraz umów kompleksowych, w rozumieniu art. 5 ust. 2 pkt 1 i 2 oraz ust. 3 </w:t>
      </w:r>
      <w:proofErr w:type="spellStart"/>
      <w:r w:rsidRPr="00BD378F">
        <w:rPr>
          <w:rFonts w:ascii="Cambria" w:hAnsi="Cambria"/>
          <w:szCs w:val="22"/>
        </w:rPr>
        <w:t>uPe</w:t>
      </w:r>
      <w:proofErr w:type="spellEnd"/>
      <w:r w:rsidR="00BD378F">
        <w:rPr>
          <w:rFonts w:ascii="Cambria" w:hAnsi="Cambria"/>
          <w:szCs w:val="22"/>
        </w:rPr>
        <w:t>.</w:t>
      </w:r>
    </w:p>
    <w:p w14:paraId="1F183F02" w14:textId="6EEF14B8" w:rsidR="00197341" w:rsidRDefault="008146B5" w:rsidP="00BD378F">
      <w:pPr>
        <w:pStyle w:val="Akapitzlist"/>
        <w:numPr>
          <w:ilvl w:val="2"/>
          <w:numId w:val="18"/>
        </w:numPr>
        <w:rPr>
          <w:rFonts w:ascii="Cambria" w:hAnsi="Cambria"/>
          <w:szCs w:val="22"/>
        </w:rPr>
      </w:pPr>
      <w:r w:rsidRPr="00BD378F">
        <w:rPr>
          <w:rFonts w:ascii="Cambria" w:hAnsi="Cambria"/>
          <w:szCs w:val="22"/>
        </w:rPr>
        <w:t>Zgodnie z art. 58 ust. 18 u</w:t>
      </w:r>
      <w:r w:rsidR="003204A4" w:rsidRPr="00BD378F">
        <w:rPr>
          <w:rFonts w:ascii="Cambria" w:hAnsi="Cambria"/>
          <w:szCs w:val="22"/>
        </w:rPr>
        <w:t>stawy o zapasach</w:t>
      </w:r>
      <w:r w:rsidRPr="00BD378F">
        <w:rPr>
          <w:rFonts w:ascii="Cambria" w:hAnsi="Cambria"/>
          <w:szCs w:val="22"/>
        </w:rPr>
        <w:t xml:space="preserve"> </w:t>
      </w:r>
      <w:r w:rsidR="003204A4" w:rsidRPr="00BD378F">
        <w:rPr>
          <w:rFonts w:ascii="Cambria" w:hAnsi="Cambria"/>
          <w:szCs w:val="22"/>
        </w:rPr>
        <w:t>o</w:t>
      </w:r>
      <w:r w:rsidR="00197341" w:rsidRPr="00BD378F">
        <w:rPr>
          <w:rFonts w:ascii="Cambria" w:hAnsi="Cambria"/>
          <w:szCs w:val="22"/>
        </w:rPr>
        <w:t>peratorzy systemów dystrybucyjnych gazowych, operatorzy systemów połączonych gazowych oraz przedsiębiorstwa pełniące funkcje operatorów przekazują niezwłocznie operatorowi systemu przesyłowego gazowego zatwierdzone plany wprowadzania ograniczeń.</w:t>
      </w:r>
    </w:p>
    <w:p w14:paraId="6198AE5A" w14:textId="6FF7E0D7" w:rsidR="008146B5" w:rsidRDefault="008146B5" w:rsidP="00BD378F">
      <w:pPr>
        <w:pStyle w:val="Akapitzlist"/>
        <w:numPr>
          <w:ilvl w:val="2"/>
          <w:numId w:val="18"/>
        </w:numPr>
        <w:rPr>
          <w:rFonts w:ascii="Cambria" w:hAnsi="Cambria"/>
          <w:szCs w:val="22"/>
        </w:rPr>
      </w:pPr>
      <w:r w:rsidRPr="00BD378F">
        <w:rPr>
          <w:rFonts w:ascii="Cambria" w:hAnsi="Cambria"/>
          <w:szCs w:val="22"/>
        </w:rPr>
        <w:t xml:space="preserve">Zgodnie z </w:t>
      </w:r>
      <w:r w:rsidRPr="00BD378F">
        <w:rPr>
          <w:rFonts w:ascii="Times New Roman" w:hAnsi="Times New Roman"/>
          <w:szCs w:val="22"/>
        </w:rPr>
        <w:t>§</w:t>
      </w:r>
      <w:r w:rsidRPr="00BD378F">
        <w:rPr>
          <w:rFonts w:ascii="Cambria" w:hAnsi="Cambria"/>
          <w:szCs w:val="22"/>
        </w:rPr>
        <w:t xml:space="preserve"> 9 rozporządzenia Operatorzy systemów dystrybucyjnych gazowych oraz operatorzy systemów magazynowania gazu ziemnego w okresie trwania ograniczeń współdziałają z operatorem systemu przesyłowego gazowego przez:</w:t>
      </w:r>
    </w:p>
    <w:p w14:paraId="0ABB73B1" w14:textId="7C119A26" w:rsidR="008146B5" w:rsidRDefault="008146B5" w:rsidP="00BD378F">
      <w:pPr>
        <w:pStyle w:val="Akapitzlist"/>
        <w:numPr>
          <w:ilvl w:val="0"/>
          <w:numId w:val="23"/>
        </w:numPr>
        <w:rPr>
          <w:rFonts w:ascii="Cambria" w:hAnsi="Cambria"/>
          <w:szCs w:val="22"/>
        </w:rPr>
      </w:pPr>
      <w:r w:rsidRPr="00BD378F">
        <w:rPr>
          <w:rFonts w:ascii="Cambria" w:hAnsi="Cambria"/>
          <w:szCs w:val="22"/>
        </w:rPr>
        <w:t>uzgadnianie warunków prowadzenia ruchu między systemami gazowymi;</w:t>
      </w:r>
    </w:p>
    <w:p w14:paraId="68ACC732" w14:textId="609D1BBB" w:rsidR="008146B5" w:rsidRDefault="008146B5" w:rsidP="00BD378F">
      <w:pPr>
        <w:pStyle w:val="Akapitzlist"/>
        <w:numPr>
          <w:ilvl w:val="0"/>
          <w:numId w:val="23"/>
        </w:numPr>
        <w:rPr>
          <w:rFonts w:ascii="Cambria" w:hAnsi="Cambria"/>
          <w:szCs w:val="22"/>
        </w:rPr>
      </w:pPr>
      <w:r w:rsidRPr="00BD378F">
        <w:rPr>
          <w:rFonts w:ascii="Cambria" w:hAnsi="Cambria"/>
          <w:szCs w:val="22"/>
        </w:rPr>
        <w:t>zapewnienie kontroli jakości gazu ziemnego;</w:t>
      </w:r>
    </w:p>
    <w:p w14:paraId="31F3E26B" w14:textId="11416C68" w:rsidR="008146B5" w:rsidRDefault="008146B5" w:rsidP="00BD378F">
      <w:pPr>
        <w:pStyle w:val="Akapitzlist"/>
        <w:numPr>
          <w:ilvl w:val="0"/>
          <w:numId w:val="23"/>
        </w:numPr>
        <w:rPr>
          <w:rFonts w:ascii="Cambria" w:hAnsi="Cambria"/>
          <w:szCs w:val="22"/>
        </w:rPr>
      </w:pPr>
      <w:r w:rsidRPr="00BD378F">
        <w:rPr>
          <w:rFonts w:ascii="Cambria" w:hAnsi="Cambria"/>
          <w:szCs w:val="22"/>
        </w:rPr>
        <w:t>zapewnienie poprawności wykonywania pomiarów przepływu gazu ziemnego między systemami gazowymi;</w:t>
      </w:r>
    </w:p>
    <w:p w14:paraId="221E4894" w14:textId="0CF4BDA3" w:rsidR="008146B5" w:rsidRDefault="008146B5" w:rsidP="00BD378F">
      <w:pPr>
        <w:pStyle w:val="Akapitzlist"/>
        <w:numPr>
          <w:ilvl w:val="0"/>
          <w:numId w:val="23"/>
        </w:numPr>
        <w:rPr>
          <w:rFonts w:ascii="Cambria" w:hAnsi="Cambria"/>
          <w:szCs w:val="22"/>
        </w:rPr>
      </w:pPr>
      <w:r w:rsidRPr="00BD378F">
        <w:rPr>
          <w:rFonts w:ascii="Cambria" w:hAnsi="Cambria"/>
          <w:szCs w:val="22"/>
        </w:rPr>
        <w:t xml:space="preserve">przekazywanie, na wniosek operatora systemu przesyłowego gazowego, niezbędnych informacji służących do wprowadzania ograniczeń, w szczególności informacji dotyczących: </w:t>
      </w:r>
    </w:p>
    <w:p w14:paraId="58101411" w14:textId="1BE8C618" w:rsidR="00DC1096" w:rsidRDefault="008146B5" w:rsidP="00BD378F">
      <w:pPr>
        <w:pStyle w:val="Akapitzlist"/>
        <w:numPr>
          <w:ilvl w:val="0"/>
          <w:numId w:val="24"/>
        </w:numPr>
        <w:rPr>
          <w:rFonts w:ascii="Cambria" w:hAnsi="Cambria"/>
          <w:szCs w:val="22"/>
        </w:rPr>
      </w:pPr>
      <w:r w:rsidRPr="00BD378F">
        <w:rPr>
          <w:rFonts w:ascii="Cambria" w:hAnsi="Cambria"/>
          <w:szCs w:val="22"/>
        </w:rPr>
        <w:t>skutków wprowadzenia ograniczeń,</w:t>
      </w:r>
    </w:p>
    <w:p w14:paraId="18148278" w14:textId="5DBFCDB7" w:rsidR="00487227" w:rsidRPr="00BD378F" w:rsidRDefault="008146B5" w:rsidP="00BD378F">
      <w:pPr>
        <w:pStyle w:val="Akapitzlist"/>
        <w:numPr>
          <w:ilvl w:val="0"/>
          <w:numId w:val="24"/>
        </w:numPr>
        <w:rPr>
          <w:rFonts w:ascii="Cambria" w:hAnsi="Cambria"/>
          <w:szCs w:val="22"/>
        </w:rPr>
      </w:pPr>
      <w:r w:rsidRPr="00BD378F">
        <w:rPr>
          <w:rFonts w:ascii="Cambria" w:hAnsi="Cambria"/>
          <w:szCs w:val="22"/>
        </w:rPr>
        <w:t>przewidywanych efektów i liczby odbiorców, których ograniczenia dotyczą.</w:t>
      </w:r>
    </w:p>
    <w:p w14:paraId="395536E3" w14:textId="77777777" w:rsidR="0076677F" w:rsidRPr="00B072A2" w:rsidRDefault="0076677F" w:rsidP="00BB5781">
      <w:pPr>
        <w:pStyle w:val="Akapitzlist"/>
        <w:ind w:left="360"/>
        <w:rPr>
          <w:rFonts w:ascii="Cambria" w:hAnsi="Cambria"/>
          <w:szCs w:val="22"/>
        </w:rPr>
      </w:pPr>
    </w:p>
    <w:p w14:paraId="5D4A89C3" w14:textId="3AC38062" w:rsidR="0076677F" w:rsidRPr="00B072A2" w:rsidRDefault="00195639" w:rsidP="000325AF">
      <w:pPr>
        <w:pStyle w:val="Akapitzlist"/>
        <w:numPr>
          <w:ilvl w:val="0"/>
          <w:numId w:val="16"/>
        </w:numPr>
        <w:rPr>
          <w:rFonts w:ascii="Cambria" w:hAnsi="Cambria"/>
          <w:b/>
          <w:bCs/>
          <w:szCs w:val="22"/>
        </w:rPr>
      </w:pPr>
      <w:r w:rsidRPr="00B072A2">
        <w:rPr>
          <w:rFonts w:ascii="Cambria" w:hAnsi="Cambria"/>
          <w:b/>
          <w:bCs/>
          <w:szCs w:val="22"/>
        </w:rPr>
        <w:t xml:space="preserve">Forma </w:t>
      </w:r>
      <w:r w:rsidR="000D60D9">
        <w:rPr>
          <w:rFonts w:ascii="Cambria" w:hAnsi="Cambria"/>
          <w:b/>
          <w:bCs/>
          <w:szCs w:val="22"/>
        </w:rPr>
        <w:t xml:space="preserve">publikacji </w:t>
      </w:r>
      <w:r w:rsidRPr="00B072A2">
        <w:rPr>
          <w:rFonts w:ascii="Cambria" w:hAnsi="Cambria"/>
          <w:b/>
          <w:bCs/>
          <w:szCs w:val="22"/>
        </w:rPr>
        <w:t>pierwsz</w:t>
      </w:r>
      <w:r w:rsidR="000D60D9">
        <w:rPr>
          <w:rFonts w:ascii="Cambria" w:hAnsi="Cambria"/>
          <w:b/>
          <w:bCs/>
          <w:szCs w:val="22"/>
        </w:rPr>
        <w:t>ej</w:t>
      </w:r>
      <w:r w:rsidRPr="00B072A2">
        <w:rPr>
          <w:rFonts w:ascii="Cambria" w:hAnsi="Cambria"/>
          <w:b/>
          <w:bCs/>
          <w:szCs w:val="22"/>
        </w:rPr>
        <w:t xml:space="preserve"> częś</w:t>
      </w:r>
      <w:r w:rsidR="000D60D9">
        <w:rPr>
          <w:rFonts w:ascii="Cambria" w:hAnsi="Cambria"/>
          <w:b/>
          <w:bCs/>
          <w:szCs w:val="22"/>
        </w:rPr>
        <w:t>ci</w:t>
      </w:r>
      <w:r w:rsidRPr="00B072A2">
        <w:rPr>
          <w:rFonts w:ascii="Cambria" w:hAnsi="Cambria"/>
          <w:b/>
          <w:bCs/>
          <w:szCs w:val="22"/>
        </w:rPr>
        <w:t xml:space="preserve"> planu ograniczeń</w:t>
      </w:r>
      <w:r w:rsidR="00BB5035">
        <w:rPr>
          <w:rFonts w:ascii="Cambria" w:hAnsi="Cambria"/>
          <w:b/>
          <w:bCs/>
          <w:szCs w:val="22"/>
        </w:rPr>
        <w:t>.</w:t>
      </w:r>
    </w:p>
    <w:p w14:paraId="006969ED" w14:textId="1A86CF5A" w:rsidR="00E64EBF" w:rsidRPr="00B072A2" w:rsidRDefault="00195639" w:rsidP="00C35D51">
      <w:pPr>
        <w:pStyle w:val="Akapitzlist"/>
        <w:ind w:left="0"/>
        <w:rPr>
          <w:rFonts w:ascii="Cambria" w:hAnsi="Cambria"/>
          <w:color w:val="C45911" w:themeColor="accent2" w:themeShade="BF"/>
          <w:szCs w:val="22"/>
        </w:rPr>
      </w:pPr>
      <w:r w:rsidRPr="00B072A2">
        <w:rPr>
          <w:rFonts w:ascii="Cambria" w:hAnsi="Cambria"/>
          <w:color w:val="C45911" w:themeColor="accent2" w:themeShade="BF"/>
          <w:szCs w:val="22"/>
        </w:rPr>
        <w:t>Wskazać formę przekazania pierwszej części planu ograniczeń do publicznej wiadomości.</w:t>
      </w:r>
    </w:p>
    <w:p w14:paraId="5C303214" w14:textId="0F15D0A4" w:rsidR="00190206" w:rsidRDefault="00190206">
      <w:pPr>
        <w:spacing w:after="160" w:line="259" w:lineRule="auto"/>
        <w:jc w:val="left"/>
        <w:rPr>
          <w:rFonts w:ascii="Cambria" w:hAnsi="Cambria"/>
          <w:b/>
          <w:bCs/>
          <w:szCs w:val="22"/>
        </w:rPr>
      </w:pPr>
      <w:r>
        <w:rPr>
          <w:rFonts w:ascii="Cambria" w:hAnsi="Cambria"/>
          <w:b/>
          <w:bCs/>
          <w:szCs w:val="22"/>
        </w:rPr>
        <w:br w:type="page"/>
      </w:r>
    </w:p>
    <w:p w14:paraId="75A1047A" w14:textId="3D9A341D" w:rsidR="00813783" w:rsidRDefault="000325AF" w:rsidP="000325AF">
      <w:pPr>
        <w:pStyle w:val="Akapitzlist"/>
        <w:numPr>
          <w:ilvl w:val="0"/>
          <w:numId w:val="16"/>
        </w:numPr>
        <w:rPr>
          <w:rFonts w:ascii="Cambria" w:hAnsi="Cambria"/>
          <w:b/>
          <w:bCs/>
          <w:szCs w:val="22"/>
        </w:rPr>
      </w:pPr>
      <w:r>
        <w:rPr>
          <w:rFonts w:ascii="Cambria" w:hAnsi="Cambria"/>
          <w:b/>
          <w:bCs/>
          <w:szCs w:val="22"/>
        </w:rPr>
        <w:lastRenderedPageBreak/>
        <w:t>Część I</w:t>
      </w:r>
      <w:r w:rsidR="00190206">
        <w:rPr>
          <w:rFonts w:ascii="Cambria" w:hAnsi="Cambria"/>
          <w:b/>
          <w:bCs/>
          <w:szCs w:val="22"/>
        </w:rPr>
        <w:t xml:space="preserve"> planu ograniczeń</w:t>
      </w:r>
      <w:r w:rsidR="00BB5035">
        <w:rPr>
          <w:rFonts w:ascii="Cambria" w:hAnsi="Cambria"/>
          <w:b/>
          <w:bCs/>
          <w:szCs w:val="22"/>
        </w:rPr>
        <w:t>.</w:t>
      </w:r>
    </w:p>
    <w:p w14:paraId="6D6F2F30" w14:textId="0808AEDE" w:rsidR="00D56046" w:rsidRPr="00D56046" w:rsidRDefault="00D56046" w:rsidP="00E86A8A">
      <w:pPr>
        <w:pStyle w:val="Akapitzlist"/>
        <w:numPr>
          <w:ilvl w:val="1"/>
          <w:numId w:val="26"/>
        </w:numPr>
        <w:rPr>
          <w:rFonts w:ascii="Cambria" w:hAnsi="Cambria"/>
          <w:bCs/>
          <w:szCs w:val="22"/>
        </w:rPr>
      </w:pPr>
      <w:r w:rsidRPr="00EA1F37">
        <w:rPr>
          <w:rFonts w:ascii="Cambria" w:hAnsi="Cambria"/>
          <w:bCs/>
          <w:szCs w:val="22"/>
        </w:rPr>
        <w:t>Okres obowiązywania planu</w:t>
      </w:r>
      <w:r w:rsidR="00A478D2">
        <w:rPr>
          <w:rFonts w:ascii="Cambria" w:hAnsi="Cambria"/>
          <w:bCs/>
          <w:szCs w:val="22"/>
        </w:rPr>
        <w:t xml:space="preserve"> </w:t>
      </w:r>
      <w:r w:rsidR="00A478D2" w:rsidRPr="00A478D2">
        <w:rPr>
          <w:rFonts w:ascii="Cambria" w:hAnsi="Cambria" w:cs="Arial"/>
          <w:bCs/>
          <w:color w:val="C45911" w:themeColor="accent2" w:themeShade="BF"/>
          <w:sz w:val="24"/>
          <w:szCs w:val="24"/>
        </w:rPr>
        <w:t>(wpisać)</w:t>
      </w:r>
      <w:r w:rsidR="00A478D2">
        <w:rPr>
          <w:rFonts w:ascii="Cambria" w:hAnsi="Cambria"/>
          <w:bCs/>
          <w:szCs w:val="22"/>
        </w:rPr>
        <w:t>.</w:t>
      </w:r>
    </w:p>
    <w:p w14:paraId="614E4C38" w14:textId="2B24AE3A" w:rsidR="00813783" w:rsidRPr="00E86A8A" w:rsidRDefault="00813783" w:rsidP="00E86A8A">
      <w:pPr>
        <w:pStyle w:val="Akapitzlist"/>
        <w:numPr>
          <w:ilvl w:val="1"/>
          <w:numId w:val="26"/>
        </w:numPr>
        <w:rPr>
          <w:rFonts w:ascii="Cambria" w:hAnsi="Cambria"/>
          <w:b/>
          <w:bCs/>
          <w:szCs w:val="22"/>
        </w:rPr>
      </w:pPr>
      <w:r w:rsidRPr="00E86A8A">
        <w:rPr>
          <w:rFonts w:ascii="Cambria" w:hAnsi="Cambria"/>
          <w:bCs/>
          <w:szCs w:val="22"/>
        </w:rPr>
        <w:t>Sumaryczne, maksymalne godzinowe i dobowe ilości poboru gazu ziemnego dla poszczególnych stopni zasilania od 1 do 12</w:t>
      </w:r>
      <w:r w:rsidR="00A25833" w:rsidRPr="00E86A8A">
        <w:rPr>
          <w:rFonts w:ascii="Cambria" w:hAnsi="Cambria"/>
          <w:bCs/>
          <w:szCs w:val="22"/>
        </w:rPr>
        <w:t>.</w:t>
      </w:r>
    </w:p>
    <w:p w14:paraId="5C287201" w14:textId="547E2E4B" w:rsidR="00D56046" w:rsidRPr="00D56046" w:rsidRDefault="00813783" w:rsidP="00D56046">
      <w:pPr>
        <w:pStyle w:val="Akapitzlist"/>
        <w:spacing w:before="120"/>
        <w:ind w:left="709"/>
        <w:rPr>
          <w:rFonts w:ascii="Cambria" w:hAnsi="Cambria" w:cs="Arial"/>
          <w:bCs/>
          <w:color w:val="C45911" w:themeColor="accent2" w:themeShade="BF"/>
          <w:sz w:val="24"/>
          <w:szCs w:val="24"/>
        </w:rPr>
      </w:pPr>
      <w:r w:rsidRPr="001513EC">
        <w:rPr>
          <w:rFonts w:ascii="Cambria" w:hAnsi="Cambria" w:cs="Arial"/>
          <w:bCs/>
          <w:color w:val="C45911" w:themeColor="accent2" w:themeShade="BF"/>
          <w:sz w:val="24"/>
          <w:szCs w:val="24"/>
        </w:rPr>
        <w:t>(wstawić tabele</w:t>
      </w:r>
      <w:r w:rsidR="00E9677F">
        <w:rPr>
          <w:rFonts w:ascii="Cambria" w:hAnsi="Cambria" w:cs="Arial"/>
          <w:bCs/>
          <w:color w:val="C45911" w:themeColor="accent2" w:themeShade="BF"/>
          <w:sz w:val="24"/>
          <w:szCs w:val="24"/>
        </w:rPr>
        <w:t xml:space="preserve"> </w:t>
      </w:r>
      <w:r w:rsidR="00FD334B" w:rsidRPr="00FD334B">
        <w:rPr>
          <w:rFonts w:ascii="Cambria" w:hAnsi="Cambria" w:cs="Arial"/>
          <w:bCs/>
          <w:color w:val="C45911" w:themeColor="accent2" w:themeShade="BF"/>
          <w:sz w:val="24"/>
          <w:szCs w:val="24"/>
        </w:rPr>
        <w:t xml:space="preserve">zgodnie z przedstawionym wzorem </w:t>
      </w:r>
      <w:r w:rsidR="00E9677F">
        <w:rPr>
          <w:rFonts w:ascii="Cambria" w:hAnsi="Cambria" w:cs="Arial"/>
          <w:bCs/>
          <w:color w:val="C45911" w:themeColor="accent2" w:themeShade="BF"/>
          <w:sz w:val="24"/>
          <w:szCs w:val="24"/>
        </w:rPr>
        <w:t>z arkusza kalkulacyjnego dotyczącego I części planu ograniczeń – odrębnie dla poszczególnych rodzajów gazu ziemnego)</w:t>
      </w:r>
      <w:r w:rsidRPr="001513EC">
        <w:rPr>
          <w:rFonts w:ascii="Cambria" w:hAnsi="Cambria" w:cs="Arial"/>
          <w:bCs/>
          <w:color w:val="C45911" w:themeColor="accent2" w:themeShade="BF"/>
          <w:sz w:val="24"/>
          <w:szCs w:val="24"/>
        </w:rPr>
        <w:t xml:space="preserve"> </w:t>
      </w:r>
    </w:p>
    <w:p w14:paraId="7C8CCB61" w14:textId="131CCF5A" w:rsidR="00DE4D78" w:rsidRPr="00B072A2" w:rsidRDefault="00716969" w:rsidP="00E86A8A">
      <w:pPr>
        <w:pStyle w:val="Akapitzlist"/>
        <w:numPr>
          <w:ilvl w:val="1"/>
          <w:numId w:val="26"/>
        </w:numPr>
        <w:rPr>
          <w:rFonts w:ascii="Cambria" w:hAnsi="Cambria" w:cs="Arial"/>
          <w:b/>
          <w:szCs w:val="22"/>
        </w:rPr>
      </w:pPr>
      <w:r w:rsidRPr="00190206">
        <w:rPr>
          <w:rFonts w:ascii="Cambria" w:hAnsi="Cambria" w:cs="Arial"/>
          <w:szCs w:val="22"/>
        </w:rPr>
        <w:t>Kluczowe j</w:t>
      </w:r>
      <w:r w:rsidR="00F1731F" w:rsidRPr="00190206">
        <w:rPr>
          <w:rFonts w:ascii="Cambria" w:hAnsi="Cambria" w:cs="Arial"/>
          <w:szCs w:val="22"/>
        </w:rPr>
        <w:t>ednostki wytwórcze</w:t>
      </w:r>
      <w:r w:rsidR="00F90997" w:rsidRPr="00190206">
        <w:rPr>
          <w:rFonts w:ascii="Cambria" w:hAnsi="Cambria" w:cs="Arial"/>
          <w:szCs w:val="22"/>
        </w:rPr>
        <w:t xml:space="preserve"> wykorzystujące gaz ziemny</w:t>
      </w:r>
      <w:r w:rsidR="00DE4D78" w:rsidRPr="00190206">
        <w:rPr>
          <w:rFonts w:ascii="Cambria" w:hAnsi="Cambria" w:cs="Arial"/>
          <w:szCs w:val="22"/>
        </w:rPr>
        <w:t xml:space="preserve"> do produkcji energii elektrycznej</w:t>
      </w:r>
      <w:r w:rsidR="001513EC">
        <w:rPr>
          <w:rFonts w:ascii="Cambria" w:hAnsi="Cambria" w:cs="Arial"/>
          <w:b/>
          <w:szCs w:val="22"/>
        </w:rPr>
        <w:t xml:space="preserve"> </w:t>
      </w:r>
      <w:r w:rsidRPr="001513EC">
        <w:rPr>
          <w:rFonts w:ascii="Cambria" w:hAnsi="Cambria" w:cs="Arial"/>
          <w:color w:val="C45911" w:themeColor="accent2" w:themeShade="BF"/>
          <w:szCs w:val="22"/>
        </w:rPr>
        <w:t>(wypełnia operator systemu przesyłowego gazowego)</w:t>
      </w:r>
      <w:r w:rsidR="00AD3C78" w:rsidRPr="00B072A2">
        <w:rPr>
          <w:rFonts w:ascii="Cambria" w:hAnsi="Cambria" w:cs="Arial"/>
          <w:b/>
          <w:szCs w:val="22"/>
        </w:rPr>
        <w:t>:</w:t>
      </w:r>
    </w:p>
    <w:tbl>
      <w:tblPr>
        <w:tblStyle w:val="Tabela-Siatka"/>
        <w:tblW w:w="8512" w:type="dxa"/>
        <w:tblInd w:w="704" w:type="dxa"/>
        <w:tblLook w:val="04A0" w:firstRow="1" w:lastRow="0" w:firstColumn="1" w:lastColumn="0" w:noHBand="0" w:noVBand="1"/>
      </w:tblPr>
      <w:tblGrid>
        <w:gridCol w:w="368"/>
        <w:gridCol w:w="8144"/>
      </w:tblGrid>
      <w:tr w:rsidR="00190206" w14:paraId="39A55312" w14:textId="77777777" w:rsidTr="00BB5035">
        <w:trPr>
          <w:trHeight w:val="498"/>
        </w:trPr>
        <w:tc>
          <w:tcPr>
            <w:tcW w:w="284" w:type="dxa"/>
            <w:vAlign w:val="center"/>
          </w:tcPr>
          <w:p w14:paraId="7DCD83E4" w14:textId="575DE709" w:rsidR="00190206" w:rsidRPr="00190206" w:rsidRDefault="00BB5035" w:rsidP="006141EC">
            <w:pPr>
              <w:spacing w:line="240" w:lineRule="auto"/>
              <w:jc w:val="left"/>
              <w:rPr>
                <w:rFonts w:ascii="Cambria" w:hAnsi="Cambria" w:cs="Arial"/>
                <w:sz w:val="20"/>
              </w:rPr>
            </w:pPr>
            <w:r>
              <w:rPr>
                <w:rFonts w:ascii="Cambria" w:hAnsi="Cambria" w:cs="Arial"/>
                <w:sz w:val="20"/>
              </w:rPr>
              <w:t>1.</w:t>
            </w:r>
          </w:p>
        </w:tc>
        <w:tc>
          <w:tcPr>
            <w:tcW w:w="8228" w:type="dxa"/>
            <w:vAlign w:val="center"/>
          </w:tcPr>
          <w:p w14:paraId="5049C8B3" w14:textId="77777777" w:rsidR="00190206" w:rsidRDefault="00190206" w:rsidP="006141EC">
            <w:pPr>
              <w:spacing w:line="240" w:lineRule="auto"/>
              <w:jc w:val="left"/>
              <w:rPr>
                <w:rFonts w:ascii="Cambria" w:hAnsi="Cambria" w:cs="Arial"/>
                <w:b/>
                <w:szCs w:val="22"/>
              </w:rPr>
            </w:pPr>
          </w:p>
        </w:tc>
      </w:tr>
      <w:tr w:rsidR="00190206" w14:paraId="2C87CF12" w14:textId="77777777" w:rsidTr="00BB5035">
        <w:trPr>
          <w:trHeight w:val="498"/>
        </w:trPr>
        <w:tc>
          <w:tcPr>
            <w:tcW w:w="284" w:type="dxa"/>
            <w:vAlign w:val="center"/>
          </w:tcPr>
          <w:p w14:paraId="16709D6D" w14:textId="541E9B28" w:rsidR="00190206" w:rsidRPr="00190206" w:rsidRDefault="00BB5035" w:rsidP="006141EC">
            <w:pPr>
              <w:spacing w:line="240" w:lineRule="auto"/>
              <w:jc w:val="left"/>
              <w:rPr>
                <w:rFonts w:ascii="Cambria" w:hAnsi="Cambria" w:cs="Arial"/>
                <w:sz w:val="20"/>
              </w:rPr>
            </w:pPr>
            <w:r>
              <w:rPr>
                <w:rFonts w:ascii="Cambria" w:hAnsi="Cambria" w:cs="Arial"/>
                <w:sz w:val="20"/>
              </w:rPr>
              <w:t>2.</w:t>
            </w:r>
          </w:p>
        </w:tc>
        <w:tc>
          <w:tcPr>
            <w:tcW w:w="8228" w:type="dxa"/>
            <w:vAlign w:val="center"/>
          </w:tcPr>
          <w:p w14:paraId="795427CD" w14:textId="77777777" w:rsidR="00190206" w:rsidRDefault="00190206" w:rsidP="006141EC">
            <w:pPr>
              <w:spacing w:line="240" w:lineRule="auto"/>
              <w:jc w:val="left"/>
              <w:rPr>
                <w:rFonts w:ascii="Cambria" w:hAnsi="Cambria" w:cs="Arial"/>
                <w:b/>
                <w:szCs w:val="22"/>
              </w:rPr>
            </w:pPr>
          </w:p>
        </w:tc>
      </w:tr>
      <w:tr w:rsidR="00190206" w14:paraId="1750AE5F" w14:textId="77777777" w:rsidTr="00BB5035">
        <w:trPr>
          <w:trHeight w:val="481"/>
        </w:trPr>
        <w:tc>
          <w:tcPr>
            <w:tcW w:w="284" w:type="dxa"/>
            <w:vAlign w:val="center"/>
          </w:tcPr>
          <w:p w14:paraId="711FB915" w14:textId="07ADCB59" w:rsidR="00190206" w:rsidRPr="00190206" w:rsidRDefault="00BB5035" w:rsidP="006141EC">
            <w:pPr>
              <w:spacing w:line="240" w:lineRule="auto"/>
              <w:jc w:val="left"/>
              <w:rPr>
                <w:rFonts w:ascii="Cambria" w:hAnsi="Cambria" w:cs="Arial"/>
                <w:sz w:val="20"/>
              </w:rPr>
            </w:pPr>
            <w:r>
              <w:rPr>
                <w:rFonts w:ascii="Cambria" w:hAnsi="Cambria" w:cs="Arial"/>
                <w:sz w:val="20"/>
              </w:rPr>
              <w:t>3.</w:t>
            </w:r>
          </w:p>
        </w:tc>
        <w:tc>
          <w:tcPr>
            <w:tcW w:w="8228" w:type="dxa"/>
            <w:vAlign w:val="center"/>
          </w:tcPr>
          <w:p w14:paraId="690C48C5" w14:textId="77777777" w:rsidR="00190206" w:rsidRDefault="00190206" w:rsidP="006141EC">
            <w:pPr>
              <w:spacing w:line="240" w:lineRule="auto"/>
              <w:jc w:val="left"/>
              <w:rPr>
                <w:rFonts w:ascii="Cambria" w:hAnsi="Cambria" w:cs="Arial"/>
                <w:b/>
                <w:szCs w:val="22"/>
              </w:rPr>
            </w:pPr>
          </w:p>
        </w:tc>
      </w:tr>
    </w:tbl>
    <w:p w14:paraId="0563B96E" w14:textId="5DCD5A78" w:rsidR="00C50DDB" w:rsidRDefault="00C50DDB">
      <w:pPr>
        <w:spacing w:after="160" w:line="259" w:lineRule="auto"/>
        <w:jc w:val="left"/>
        <w:rPr>
          <w:rFonts w:ascii="Cambria" w:hAnsi="Cambria" w:cs="Arial"/>
          <w:b/>
          <w:szCs w:val="22"/>
        </w:rPr>
      </w:pPr>
      <w:r>
        <w:rPr>
          <w:rFonts w:ascii="Cambria" w:hAnsi="Cambria" w:cs="Arial"/>
          <w:b/>
          <w:szCs w:val="22"/>
        </w:rPr>
        <w:br w:type="page"/>
      </w:r>
    </w:p>
    <w:p w14:paraId="6CF1B135" w14:textId="77777777" w:rsidR="00C12D81" w:rsidRDefault="00C12D81" w:rsidP="00C12D81">
      <w:pPr>
        <w:pStyle w:val="Akapitzlist"/>
        <w:ind w:left="360"/>
        <w:jc w:val="center"/>
        <w:rPr>
          <w:rFonts w:ascii="Cambria" w:hAnsi="Cambria"/>
          <w:b/>
          <w:bCs/>
          <w:szCs w:val="22"/>
        </w:rPr>
      </w:pPr>
    </w:p>
    <w:p w14:paraId="0F282369" w14:textId="77777777" w:rsidR="00C12D81" w:rsidRDefault="00C12D81" w:rsidP="00C12D81">
      <w:pPr>
        <w:pStyle w:val="Akapitzlist"/>
        <w:ind w:left="360"/>
        <w:jc w:val="center"/>
        <w:rPr>
          <w:rFonts w:ascii="Cambria" w:hAnsi="Cambria"/>
          <w:b/>
          <w:bCs/>
          <w:szCs w:val="22"/>
        </w:rPr>
      </w:pPr>
    </w:p>
    <w:p w14:paraId="11E32F04" w14:textId="77777777" w:rsidR="00C12D81" w:rsidRDefault="00C12D81" w:rsidP="00C12D81">
      <w:pPr>
        <w:pStyle w:val="Akapitzlist"/>
        <w:ind w:left="360"/>
        <w:jc w:val="center"/>
        <w:rPr>
          <w:rFonts w:ascii="Cambria" w:hAnsi="Cambria"/>
          <w:b/>
          <w:bCs/>
          <w:szCs w:val="22"/>
        </w:rPr>
      </w:pPr>
    </w:p>
    <w:p w14:paraId="538F64F3" w14:textId="77777777" w:rsidR="00C12D81" w:rsidRDefault="00C12D81" w:rsidP="00C12D81">
      <w:pPr>
        <w:pStyle w:val="Akapitzlist"/>
        <w:ind w:left="360"/>
        <w:jc w:val="center"/>
        <w:rPr>
          <w:rFonts w:ascii="Cambria" w:hAnsi="Cambria"/>
          <w:b/>
          <w:bCs/>
          <w:szCs w:val="22"/>
        </w:rPr>
      </w:pPr>
    </w:p>
    <w:p w14:paraId="3F209678" w14:textId="77777777" w:rsidR="00C12D81" w:rsidRDefault="00C12D81" w:rsidP="00C12D81">
      <w:pPr>
        <w:pStyle w:val="Akapitzlist"/>
        <w:ind w:left="360"/>
        <w:jc w:val="center"/>
        <w:rPr>
          <w:rFonts w:ascii="Cambria" w:hAnsi="Cambria"/>
          <w:b/>
          <w:bCs/>
          <w:szCs w:val="22"/>
        </w:rPr>
      </w:pPr>
    </w:p>
    <w:p w14:paraId="60394B6A" w14:textId="77777777" w:rsidR="00C12D81" w:rsidRDefault="00C12D81" w:rsidP="00C12D81">
      <w:pPr>
        <w:pStyle w:val="Akapitzlist"/>
        <w:ind w:left="360"/>
        <w:jc w:val="center"/>
        <w:rPr>
          <w:rFonts w:ascii="Cambria" w:hAnsi="Cambria"/>
          <w:b/>
          <w:bCs/>
          <w:szCs w:val="22"/>
        </w:rPr>
      </w:pPr>
    </w:p>
    <w:p w14:paraId="110F08D6" w14:textId="77777777" w:rsidR="00C12D81" w:rsidRDefault="00C12D81" w:rsidP="00C12D81">
      <w:pPr>
        <w:pStyle w:val="Akapitzlist"/>
        <w:ind w:left="360"/>
        <w:jc w:val="center"/>
        <w:rPr>
          <w:rFonts w:ascii="Cambria" w:hAnsi="Cambria"/>
          <w:b/>
          <w:bCs/>
          <w:szCs w:val="22"/>
        </w:rPr>
      </w:pPr>
    </w:p>
    <w:p w14:paraId="09524AD3" w14:textId="77777777" w:rsidR="002642A3" w:rsidRDefault="002642A3" w:rsidP="00C12D81">
      <w:pPr>
        <w:pStyle w:val="Akapitzlist"/>
        <w:ind w:left="360"/>
        <w:jc w:val="center"/>
        <w:rPr>
          <w:rFonts w:ascii="Cambria" w:hAnsi="Cambria"/>
          <w:b/>
          <w:bCs/>
          <w:sz w:val="28"/>
          <w:szCs w:val="28"/>
        </w:rPr>
      </w:pPr>
    </w:p>
    <w:p w14:paraId="350D2884" w14:textId="77777777" w:rsidR="002642A3" w:rsidRDefault="002642A3" w:rsidP="00C12D81">
      <w:pPr>
        <w:pStyle w:val="Akapitzlist"/>
        <w:ind w:left="360"/>
        <w:jc w:val="center"/>
        <w:rPr>
          <w:rFonts w:ascii="Cambria" w:hAnsi="Cambria"/>
          <w:b/>
          <w:bCs/>
          <w:sz w:val="28"/>
          <w:szCs w:val="28"/>
        </w:rPr>
      </w:pPr>
    </w:p>
    <w:p w14:paraId="502287A1" w14:textId="77777777" w:rsidR="002642A3" w:rsidRDefault="002642A3" w:rsidP="00C12D81">
      <w:pPr>
        <w:pStyle w:val="Akapitzlist"/>
        <w:ind w:left="360"/>
        <w:jc w:val="center"/>
        <w:rPr>
          <w:rFonts w:ascii="Cambria" w:hAnsi="Cambria"/>
          <w:b/>
          <w:bCs/>
          <w:sz w:val="28"/>
          <w:szCs w:val="28"/>
        </w:rPr>
      </w:pPr>
    </w:p>
    <w:p w14:paraId="790BEA19" w14:textId="77777777" w:rsidR="00BF0F1E" w:rsidRDefault="00BF0F1E" w:rsidP="00C12D81">
      <w:pPr>
        <w:pStyle w:val="Akapitzlist"/>
        <w:ind w:left="360"/>
        <w:jc w:val="center"/>
        <w:rPr>
          <w:rFonts w:ascii="Cambria" w:hAnsi="Cambria"/>
          <w:b/>
          <w:bCs/>
          <w:sz w:val="28"/>
          <w:szCs w:val="28"/>
        </w:rPr>
      </w:pPr>
    </w:p>
    <w:p w14:paraId="58D79CF0" w14:textId="77777777" w:rsidR="00BF0F1E" w:rsidRPr="0011750F" w:rsidRDefault="00BF0F1E" w:rsidP="0011750F">
      <w:pPr>
        <w:rPr>
          <w:rFonts w:ascii="Cambria" w:hAnsi="Cambria"/>
          <w:b/>
          <w:bCs/>
          <w:sz w:val="28"/>
          <w:szCs w:val="28"/>
        </w:rPr>
      </w:pPr>
    </w:p>
    <w:p w14:paraId="02510556" w14:textId="77777777" w:rsidR="00E86A8A" w:rsidRDefault="00C50DDB" w:rsidP="00C12D81">
      <w:pPr>
        <w:pStyle w:val="Akapitzlist"/>
        <w:ind w:left="360"/>
        <w:jc w:val="center"/>
        <w:rPr>
          <w:rFonts w:ascii="Cambria" w:hAnsi="Cambria"/>
          <w:b/>
          <w:bCs/>
          <w:sz w:val="28"/>
          <w:szCs w:val="28"/>
        </w:rPr>
      </w:pPr>
      <w:r w:rsidRPr="00C12D81">
        <w:rPr>
          <w:rFonts w:ascii="Cambria" w:hAnsi="Cambria"/>
          <w:b/>
          <w:bCs/>
          <w:sz w:val="28"/>
          <w:szCs w:val="28"/>
        </w:rPr>
        <w:t xml:space="preserve">CZĘŚĆ II </w:t>
      </w:r>
    </w:p>
    <w:p w14:paraId="3B25A073" w14:textId="5FCE0F2E" w:rsidR="00C50DDB" w:rsidRPr="00C12D81" w:rsidRDefault="00C50DDB" w:rsidP="00C12D81">
      <w:pPr>
        <w:pStyle w:val="Akapitzlist"/>
        <w:ind w:left="360"/>
        <w:jc w:val="center"/>
        <w:rPr>
          <w:rFonts w:ascii="Cambria" w:hAnsi="Cambria"/>
          <w:b/>
          <w:bCs/>
          <w:sz w:val="28"/>
          <w:szCs w:val="28"/>
        </w:rPr>
      </w:pPr>
      <w:r w:rsidRPr="00C12D81">
        <w:rPr>
          <w:rFonts w:ascii="Cambria" w:hAnsi="Cambria"/>
          <w:b/>
          <w:bCs/>
          <w:sz w:val="28"/>
          <w:szCs w:val="28"/>
        </w:rPr>
        <w:t>planu ograniczeń</w:t>
      </w:r>
    </w:p>
    <w:p w14:paraId="419DDF02" w14:textId="106E0614" w:rsidR="00C50DDB" w:rsidRPr="000D60D9" w:rsidRDefault="00C50DDB" w:rsidP="00C12D81">
      <w:pPr>
        <w:pStyle w:val="Akapitzlist"/>
        <w:spacing w:before="120"/>
        <w:ind w:left="360"/>
        <w:jc w:val="center"/>
        <w:rPr>
          <w:rFonts w:ascii="Cambria" w:hAnsi="Cambria" w:cs="Arial"/>
          <w:bCs/>
          <w:color w:val="C45911" w:themeColor="accent2" w:themeShade="BF"/>
          <w:sz w:val="24"/>
          <w:szCs w:val="24"/>
        </w:rPr>
      </w:pPr>
      <w:r w:rsidRPr="000D60D9">
        <w:rPr>
          <w:rFonts w:ascii="Cambria" w:hAnsi="Cambria" w:cs="Arial"/>
          <w:bCs/>
          <w:color w:val="C45911" w:themeColor="accent2" w:themeShade="BF"/>
          <w:sz w:val="24"/>
          <w:szCs w:val="24"/>
        </w:rPr>
        <w:t>(nie podlega publikacji)</w:t>
      </w:r>
    </w:p>
    <w:p w14:paraId="46E12D3D" w14:textId="1BF7CDCD" w:rsidR="00C12D81" w:rsidRDefault="00C12D81">
      <w:pPr>
        <w:spacing w:after="160" w:line="259" w:lineRule="auto"/>
        <w:jc w:val="left"/>
        <w:rPr>
          <w:rFonts w:ascii="Cambria" w:hAnsi="Cambria" w:cs="Arial"/>
          <w:bCs/>
          <w:color w:val="C45911" w:themeColor="accent2" w:themeShade="BF"/>
          <w:sz w:val="24"/>
          <w:szCs w:val="24"/>
        </w:rPr>
      </w:pPr>
      <w:r>
        <w:rPr>
          <w:rFonts w:ascii="Cambria" w:hAnsi="Cambria" w:cs="Arial"/>
          <w:bCs/>
          <w:color w:val="C45911" w:themeColor="accent2" w:themeShade="BF"/>
          <w:sz w:val="24"/>
          <w:szCs w:val="24"/>
        </w:rPr>
        <w:br w:type="page"/>
      </w:r>
    </w:p>
    <w:p w14:paraId="3FFF4177" w14:textId="175CAE54" w:rsidR="00E9677F" w:rsidRPr="00E9677F" w:rsidRDefault="005D0E1C" w:rsidP="00F45E9B">
      <w:pPr>
        <w:pStyle w:val="Akapitzlist"/>
        <w:numPr>
          <w:ilvl w:val="0"/>
          <w:numId w:val="9"/>
        </w:numPr>
        <w:rPr>
          <w:rFonts w:ascii="Cambria" w:hAnsi="Cambria" w:cs="Arial"/>
          <w:b/>
          <w:sz w:val="24"/>
          <w:szCs w:val="24"/>
        </w:rPr>
      </w:pPr>
      <w:r w:rsidRPr="00E9677F">
        <w:rPr>
          <w:rFonts w:ascii="Cambria" w:hAnsi="Cambria" w:cs="Arial"/>
          <w:b/>
          <w:sz w:val="24"/>
          <w:szCs w:val="24"/>
        </w:rPr>
        <w:lastRenderedPageBreak/>
        <w:t>Średnie godzinowe i dobowe ilości gazu ziemnego</w:t>
      </w:r>
      <w:r w:rsidR="00E9677F" w:rsidRPr="00E9677F">
        <w:rPr>
          <w:rFonts w:ascii="Cambria" w:hAnsi="Cambria" w:cs="Arial"/>
          <w:b/>
          <w:sz w:val="24"/>
          <w:szCs w:val="24"/>
        </w:rPr>
        <w:t>,</w:t>
      </w:r>
      <w:r w:rsidRPr="00E9677F">
        <w:rPr>
          <w:rFonts w:ascii="Cambria" w:hAnsi="Cambria" w:cs="Arial"/>
          <w:b/>
          <w:sz w:val="24"/>
          <w:szCs w:val="24"/>
        </w:rPr>
        <w:t xml:space="preserve"> </w:t>
      </w:r>
      <w:r w:rsidR="00E9677F" w:rsidRPr="00E9677F">
        <w:rPr>
          <w:rFonts w:ascii="Cambria" w:hAnsi="Cambria" w:cs="Arial"/>
          <w:b/>
          <w:sz w:val="24"/>
          <w:szCs w:val="24"/>
        </w:rPr>
        <w:t>o któr</w:t>
      </w:r>
      <w:r w:rsidR="007F6A16">
        <w:rPr>
          <w:rFonts w:ascii="Cambria" w:hAnsi="Cambria" w:cs="Arial"/>
          <w:b/>
          <w:sz w:val="24"/>
          <w:szCs w:val="24"/>
        </w:rPr>
        <w:t>ych</w:t>
      </w:r>
      <w:r w:rsidR="00E9677F" w:rsidRPr="00E9677F">
        <w:rPr>
          <w:rFonts w:ascii="Cambria" w:hAnsi="Cambria" w:cs="Arial"/>
          <w:b/>
          <w:sz w:val="24"/>
          <w:szCs w:val="24"/>
        </w:rPr>
        <w:t xml:space="preserve"> mowa w § 7 ust. 3 </w:t>
      </w:r>
      <w:r w:rsidR="00966FE0">
        <w:rPr>
          <w:rFonts w:ascii="Cambria" w:hAnsi="Cambria" w:cs="Arial"/>
          <w:b/>
          <w:sz w:val="24"/>
          <w:szCs w:val="24"/>
        </w:rPr>
        <w:t>r</w:t>
      </w:r>
      <w:r w:rsidR="00E9677F" w:rsidRPr="00E9677F">
        <w:rPr>
          <w:rFonts w:ascii="Cambria" w:hAnsi="Cambria" w:cs="Arial"/>
          <w:b/>
          <w:sz w:val="24"/>
          <w:szCs w:val="24"/>
        </w:rPr>
        <w:t xml:space="preserve">ozporządzenia </w:t>
      </w:r>
      <w:r w:rsidRPr="00E9677F">
        <w:rPr>
          <w:rFonts w:ascii="Cambria" w:hAnsi="Cambria" w:cs="Arial"/>
          <w:b/>
          <w:sz w:val="24"/>
          <w:szCs w:val="24"/>
        </w:rPr>
        <w:t xml:space="preserve">oraz maksymalne godzinowe i dobowe ilości poboru gazu ziemnego </w:t>
      </w:r>
      <w:r w:rsidR="00E9677F" w:rsidRPr="00E9677F">
        <w:rPr>
          <w:rFonts w:ascii="Cambria" w:hAnsi="Cambria" w:cs="Arial"/>
          <w:b/>
          <w:sz w:val="24"/>
          <w:szCs w:val="24"/>
        </w:rPr>
        <w:t xml:space="preserve">w stopniach zasilania od 1 do 12 wyrażonych w jednostkach energii </w:t>
      </w:r>
      <w:r w:rsidR="002C0C02">
        <w:rPr>
          <w:rFonts w:ascii="Cambria" w:hAnsi="Cambria" w:cs="Arial"/>
          <w:b/>
          <w:sz w:val="24"/>
          <w:szCs w:val="24"/>
        </w:rPr>
        <w:t>przez poszczególnych od</w:t>
      </w:r>
      <w:r w:rsidR="004225AA">
        <w:rPr>
          <w:rFonts w:ascii="Cambria" w:hAnsi="Cambria" w:cs="Arial"/>
          <w:b/>
          <w:sz w:val="24"/>
          <w:szCs w:val="24"/>
        </w:rPr>
        <w:t>biorców przy</w:t>
      </w:r>
      <w:r w:rsidR="00BB5035">
        <w:rPr>
          <w:rFonts w:ascii="Cambria" w:hAnsi="Cambria" w:cs="Arial"/>
          <w:b/>
          <w:sz w:val="24"/>
          <w:szCs w:val="24"/>
        </w:rPr>
        <w:t xml:space="preserve">łączonych do sieci, </w:t>
      </w:r>
      <w:r w:rsidR="00E9677F" w:rsidRPr="00E9677F">
        <w:rPr>
          <w:rFonts w:ascii="Cambria" w:hAnsi="Cambria" w:cs="Arial"/>
          <w:b/>
          <w:sz w:val="24"/>
          <w:szCs w:val="24"/>
        </w:rPr>
        <w:t>z</w:t>
      </w:r>
      <w:r w:rsidR="002642A3">
        <w:rPr>
          <w:rFonts w:ascii="Cambria" w:hAnsi="Cambria" w:cs="Arial"/>
          <w:b/>
          <w:sz w:val="24"/>
          <w:szCs w:val="24"/>
        </w:rPr>
        <w:t xml:space="preserve"> </w:t>
      </w:r>
      <w:r w:rsidR="00E9677F" w:rsidRPr="00E9677F">
        <w:rPr>
          <w:rFonts w:ascii="Cambria" w:hAnsi="Cambria" w:cs="Arial"/>
          <w:b/>
          <w:sz w:val="24"/>
          <w:szCs w:val="24"/>
        </w:rPr>
        <w:t>wyjątkiem odbiorców chronionych.</w:t>
      </w:r>
    </w:p>
    <w:p w14:paraId="5B567BBA" w14:textId="0A7F1916" w:rsidR="001513EC" w:rsidRDefault="00E9677F" w:rsidP="001513EC">
      <w:pPr>
        <w:pStyle w:val="Akapitzlist"/>
        <w:spacing w:before="120"/>
        <w:ind w:left="360"/>
        <w:rPr>
          <w:rFonts w:ascii="Cambria" w:hAnsi="Cambria" w:cs="Arial"/>
          <w:bCs/>
          <w:color w:val="C45911" w:themeColor="accent2" w:themeShade="BF"/>
          <w:sz w:val="24"/>
          <w:szCs w:val="24"/>
        </w:rPr>
      </w:pPr>
      <w:r w:rsidRPr="001513EC">
        <w:rPr>
          <w:rFonts w:ascii="Cambria" w:hAnsi="Cambria" w:cs="Arial"/>
          <w:bCs/>
          <w:color w:val="C45911" w:themeColor="accent2" w:themeShade="BF"/>
          <w:sz w:val="24"/>
          <w:szCs w:val="24"/>
        </w:rPr>
        <w:t xml:space="preserve"> </w:t>
      </w:r>
      <w:r w:rsidR="001513EC" w:rsidRPr="001513EC">
        <w:rPr>
          <w:rFonts w:ascii="Cambria" w:hAnsi="Cambria" w:cs="Arial"/>
          <w:bCs/>
          <w:color w:val="C45911" w:themeColor="accent2" w:themeShade="BF"/>
          <w:sz w:val="24"/>
          <w:szCs w:val="24"/>
        </w:rPr>
        <w:t>(</w:t>
      </w:r>
      <w:r w:rsidRPr="00E9677F">
        <w:rPr>
          <w:rFonts w:ascii="Cambria" w:hAnsi="Cambria" w:cs="Arial"/>
          <w:bCs/>
          <w:color w:val="C45911" w:themeColor="accent2" w:themeShade="BF"/>
          <w:sz w:val="24"/>
          <w:szCs w:val="24"/>
        </w:rPr>
        <w:t xml:space="preserve">wstawić tabele </w:t>
      </w:r>
      <w:r w:rsidR="00694816">
        <w:rPr>
          <w:rFonts w:ascii="Cambria" w:hAnsi="Cambria" w:cs="Arial"/>
          <w:bCs/>
          <w:color w:val="C45911" w:themeColor="accent2" w:themeShade="BF"/>
          <w:sz w:val="24"/>
          <w:szCs w:val="24"/>
        </w:rPr>
        <w:t xml:space="preserve">zgodnie z przedstawionym wzorem </w:t>
      </w:r>
      <w:r w:rsidRPr="00E9677F">
        <w:rPr>
          <w:rFonts w:ascii="Cambria" w:hAnsi="Cambria" w:cs="Arial"/>
          <w:bCs/>
          <w:color w:val="C45911" w:themeColor="accent2" w:themeShade="BF"/>
          <w:sz w:val="24"/>
          <w:szCs w:val="24"/>
        </w:rPr>
        <w:t xml:space="preserve">z arkusza kalkulacyjnego dotyczącego części </w:t>
      </w:r>
      <w:r w:rsidR="004225AA">
        <w:rPr>
          <w:rFonts w:ascii="Cambria" w:hAnsi="Cambria" w:cs="Arial"/>
          <w:bCs/>
          <w:color w:val="C45911" w:themeColor="accent2" w:themeShade="BF"/>
          <w:sz w:val="24"/>
          <w:szCs w:val="24"/>
        </w:rPr>
        <w:t xml:space="preserve">II A </w:t>
      </w:r>
      <w:r w:rsidRPr="00E9677F">
        <w:rPr>
          <w:rFonts w:ascii="Cambria" w:hAnsi="Cambria" w:cs="Arial"/>
          <w:bCs/>
          <w:color w:val="C45911" w:themeColor="accent2" w:themeShade="BF"/>
          <w:sz w:val="24"/>
          <w:szCs w:val="24"/>
        </w:rPr>
        <w:t>planu ograniczeń – odrębnie dla poszczególnych rodzajów gazu ziemnego</w:t>
      </w:r>
      <w:r w:rsidR="001513EC" w:rsidRPr="001513EC">
        <w:rPr>
          <w:rFonts w:ascii="Cambria" w:hAnsi="Cambria" w:cs="Arial"/>
          <w:bCs/>
          <w:color w:val="C45911" w:themeColor="accent2" w:themeShade="BF"/>
          <w:sz w:val="24"/>
          <w:szCs w:val="24"/>
        </w:rPr>
        <w:t xml:space="preserve">) </w:t>
      </w:r>
    </w:p>
    <w:p w14:paraId="55E96A16" w14:textId="68606638" w:rsidR="004225AA" w:rsidRPr="004225AA" w:rsidRDefault="004225AA" w:rsidP="00F45E9B">
      <w:pPr>
        <w:pStyle w:val="Akapitzlist"/>
        <w:numPr>
          <w:ilvl w:val="0"/>
          <w:numId w:val="9"/>
        </w:numPr>
        <w:spacing w:before="120"/>
        <w:rPr>
          <w:rFonts w:ascii="Cambria" w:hAnsi="Cambria" w:cs="Arial"/>
          <w:b/>
          <w:bCs/>
          <w:color w:val="C45911" w:themeColor="accent2" w:themeShade="BF"/>
          <w:sz w:val="24"/>
          <w:szCs w:val="24"/>
        </w:rPr>
      </w:pPr>
      <w:r w:rsidRPr="004225AA">
        <w:rPr>
          <w:rFonts w:ascii="Cambria" w:hAnsi="Cambria" w:cs="Arial"/>
          <w:b/>
          <w:bCs/>
          <w:sz w:val="24"/>
          <w:szCs w:val="24"/>
        </w:rPr>
        <w:t>Wykaz odbiorców chronionych</w:t>
      </w:r>
      <w:r w:rsidR="00BB5035">
        <w:rPr>
          <w:rStyle w:val="Odwoanieprzypisudolnego"/>
          <w:rFonts w:ascii="Cambria" w:hAnsi="Cambria" w:cs="Arial"/>
          <w:b/>
          <w:bCs/>
          <w:sz w:val="24"/>
          <w:szCs w:val="24"/>
        </w:rPr>
        <w:footnoteReference w:id="2"/>
      </w:r>
      <w:r w:rsidRPr="004225AA">
        <w:rPr>
          <w:rFonts w:ascii="Cambria" w:hAnsi="Cambria" w:cs="Arial"/>
          <w:b/>
          <w:bCs/>
          <w:sz w:val="24"/>
          <w:szCs w:val="24"/>
        </w:rPr>
        <w:t>, o których mo</w:t>
      </w:r>
      <w:r>
        <w:rPr>
          <w:rFonts w:ascii="Cambria" w:hAnsi="Cambria" w:cs="Arial"/>
          <w:b/>
          <w:bCs/>
          <w:sz w:val="24"/>
          <w:szCs w:val="24"/>
        </w:rPr>
        <w:t xml:space="preserve">wa w  § </w:t>
      </w:r>
      <w:r w:rsidR="002642A3">
        <w:rPr>
          <w:rFonts w:ascii="Cambria" w:hAnsi="Cambria" w:cs="Arial"/>
          <w:b/>
          <w:bCs/>
          <w:sz w:val="24"/>
          <w:szCs w:val="24"/>
        </w:rPr>
        <w:t>7 ust. 7</w:t>
      </w:r>
      <w:r w:rsidRPr="004225AA">
        <w:rPr>
          <w:rFonts w:ascii="Cambria" w:hAnsi="Cambria" w:cs="Arial"/>
          <w:b/>
          <w:bCs/>
          <w:sz w:val="24"/>
          <w:szCs w:val="24"/>
        </w:rPr>
        <w:t xml:space="preserve"> </w:t>
      </w:r>
      <w:r w:rsidR="00966FE0">
        <w:rPr>
          <w:rFonts w:ascii="Cambria" w:hAnsi="Cambria" w:cs="Arial"/>
          <w:b/>
          <w:bCs/>
          <w:sz w:val="24"/>
          <w:szCs w:val="24"/>
        </w:rPr>
        <w:t>r</w:t>
      </w:r>
      <w:r w:rsidRPr="004225AA">
        <w:rPr>
          <w:rFonts w:ascii="Cambria" w:hAnsi="Cambria" w:cs="Arial"/>
          <w:b/>
          <w:bCs/>
          <w:sz w:val="24"/>
          <w:szCs w:val="24"/>
        </w:rPr>
        <w:t>ozpo</w:t>
      </w:r>
      <w:r>
        <w:rPr>
          <w:rFonts w:ascii="Cambria" w:hAnsi="Cambria" w:cs="Arial"/>
          <w:b/>
          <w:bCs/>
          <w:sz w:val="24"/>
          <w:szCs w:val="24"/>
        </w:rPr>
        <w:t>rządzenia</w:t>
      </w:r>
      <w:r w:rsidR="00215F02">
        <w:rPr>
          <w:rFonts w:ascii="Cambria" w:hAnsi="Cambria" w:cs="Arial"/>
          <w:b/>
          <w:bCs/>
          <w:sz w:val="24"/>
          <w:szCs w:val="24"/>
        </w:rPr>
        <w:t xml:space="preserve">, którzy </w:t>
      </w:r>
      <w:r w:rsidR="006141EC">
        <w:rPr>
          <w:rFonts w:ascii="Cambria" w:hAnsi="Cambria" w:cs="Arial"/>
          <w:b/>
          <w:bCs/>
          <w:sz w:val="24"/>
          <w:szCs w:val="24"/>
        </w:rPr>
        <w:t>podlegają ograniczeniom</w:t>
      </w:r>
      <w:r w:rsidR="00215F02">
        <w:rPr>
          <w:rFonts w:ascii="Cambria" w:hAnsi="Cambria" w:cs="Arial"/>
          <w:b/>
          <w:bCs/>
          <w:sz w:val="24"/>
          <w:szCs w:val="24"/>
        </w:rPr>
        <w:t xml:space="preserve"> </w:t>
      </w:r>
      <w:r w:rsidR="00BF0F1E">
        <w:rPr>
          <w:rFonts w:ascii="Cambria" w:hAnsi="Cambria" w:cs="Arial"/>
          <w:b/>
          <w:bCs/>
          <w:sz w:val="24"/>
          <w:szCs w:val="24"/>
        </w:rPr>
        <w:t xml:space="preserve">wyłącznie </w:t>
      </w:r>
      <w:r w:rsidRPr="004225AA">
        <w:rPr>
          <w:rFonts w:ascii="Cambria" w:hAnsi="Cambria" w:cs="Arial"/>
          <w:b/>
          <w:bCs/>
          <w:sz w:val="24"/>
          <w:szCs w:val="24"/>
        </w:rPr>
        <w:t>w 12 stopniu zasilania</w:t>
      </w:r>
      <w:r w:rsidR="00215F02">
        <w:rPr>
          <w:rFonts w:ascii="Cambria" w:hAnsi="Cambria" w:cs="Arial"/>
          <w:b/>
          <w:bCs/>
          <w:sz w:val="24"/>
          <w:szCs w:val="24"/>
        </w:rPr>
        <w:t>.</w:t>
      </w:r>
      <w:r w:rsidRPr="00215F02">
        <w:rPr>
          <w:rFonts w:ascii="Cambria" w:hAnsi="Cambria" w:cs="Arial"/>
          <w:b/>
          <w:bCs/>
          <w:sz w:val="24"/>
          <w:szCs w:val="24"/>
        </w:rPr>
        <w:tab/>
      </w:r>
      <w:r w:rsidRPr="00215F02">
        <w:rPr>
          <w:rFonts w:ascii="Cambria" w:hAnsi="Cambria" w:cs="Arial"/>
          <w:b/>
          <w:bCs/>
          <w:sz w:val="24"/>
          <w:szCs w:val="24"/>
        </w:rPr>
        <w:tab/>
      </w:r>
    </w:p>
    <w:p w14:paraId="39780435" w14:textId="3D7646FF" w:rsidR="000E7D5C" w:rsidRDefault="000E7D5C" w:rsidP="000E7D5C">
      <w:pPr>
        <w:pStyle w:val="Akapitzlist"/>
        <w:spacing w:before="120"/>
        <w:ind w:left="360"/>
        <w:rPr>
          <w:rFonts w:ascii="Cambria" w:hAnsi="Cambria" w:cs="Arial"/>
          <w:bCs/>
          <w:color w:val="C45911" w:themeColor="accent2" w:themeShade="BF"/>
          <w:sz w:val="24"/>
          <w:szCs w:val="24"/>
        </w:rPr>
      </w:pPr>
      <w:r w:rsidRPr="001513EC">
        <w:rPr>
          <w:rFonts w:ascii="Cambria" w:hAnsi="Cambria" w:cs="Arial"/>
          <w:bCs/>
          <w:color w:val="C45911" w:themeColor="accent2" w:themeShade="BF"/>
          <w:sz w:val="24"/>
          <w:szCs w:val="24"/>
        </w:rPr>
        <w:t>(</w:t>
      </w:r>
      <w:r w:rsidRPr="00E9677F">
        <w:rPr>
          <w:rFonts w:ascii="Cambria" w:hAnsi="Cambria" w:cs="Arial"/>
          <w:bCs/>
          <w:color w:val="C45911" w:themeColor="accent2" w:themeShade="BF"/>
          <w:sz w:val="24"/>
          <w:szCs w:val="24"/>
        </w:rPr>
        <w:t xml:space="preserve">wstawić tabele </w:t>
      </w:r>
      <w:r w:rsidR="00694816" w:rsidRPr="00694816">
        <w:rPr>
          <w:rFonts w:ascii="Cambria" w:hAnsi="Cambria" w:cs="Arial"/>
          <w:bCs/>
          <w:color w:val="C45911" w:themeColor="accent2" w:themeShade="BF"/>
          <w:sz w:val="24"/>
          <w:szCs w:val="24"/>
        </w:rPr>
        <w:t xml:space="preserve">zgodnie z przedstawionym wzorem </w:t>
      </w:r>
      <w:r w:rsidRPr="00E9677F">
        <w:rPr>
          <w:rFonts w:ascii="Cambria" w:hAnsi="Cambria" w:cs="Arial"/>
          <w:bCs/>
          <w:color w:val="C45911" w:themeColor="accent2" w:themeShade="BF"/>
          <w:sz w:val="24"/>
          <w:szCs w:val="24"/>
        </w:rPr>
        <w:t xml:space="preserve">z arkusza kalkulacyjnego dotyczącego części </w:t>
      </w:r>
      <w:r>
        <w:rPr>
          <w:rFonts w:ascii="Cambria" w:hAnsi="Cambria" w:cs="Arial"/>
          <w:bCs/>
          <w:color w:val="C45911" w:themeColor="accent2" w:themeShade="BF"/>
          <w:sz w:val="24"/>
          <w:szCs w:val="24"/>
        </w:rPr>
        <w:t xml:space="preserve">II B </w:t>
      </w:r>
      <w:r w:rsidRPr="00E9677F">
        <w:rPr>
          <w:rFonts w:ascii="Cambria" w:hAnsi="Cambria" w:cs="Arial"/>
          <w:bCs/>
          <w:color w:val="C45911" w:themeColor="accent2" w:themeShade="BF"/>
          <w:sz w:val="24"/>
          <w:szCs w:val="24"/>
        </w:rPr>
        <w:t>planu ograniczeń – odrębnie dla poszczególnych rodzajów gazu ziemnego</w:t>
      </w:r>
      <w:r>
        <w:rPr>
          <w:rFonts w:ascii="Cambria" w:hAnsi="Cambria" w:cs="Arial"/>
          <w:bCs/>
          <w:color w:val="C45911" w:themeColor="accent2" w:themeShade="BF"/>
          <w:sz w:val="24"/>
          <w:szCs w:val="24"/>
        </w:rPr>
        <w:t>)</w:t>
      </w:r>
      <w:r w:rsidRPr="001513EC">
        <w:rPr>
          <w:rFonts w:ascii="Cambria" w:hAnsi="Cambria" w:cs="Arial"/>
          <w:bCs/>
          <w:color w:val="C45911" w:themeColor="accent2" w:themeShade="BF"/>
          <w:sz w:val="24"/>
          <w:szCs w:val="24"/>
        </w:rPr>
        <w:t xml:space="preserve"> </w:t>
      </w:r>
    </w:p>
    <w:p w14:paraId="6929C838" w14:textId="77777777" w:rsidR="005D0E1C" w:rsidRPr="005D0E1C" w:rsidRDefault="005D0E1C" w:rsidP="005D0E1C">
      <w:pPr>
        <w:pStyle w:val="Akapitzlist"/>
        <w:spacing w:before="120"/>
        <w:ind w:left="360"/>
        <w:rPr>
          <w:rFonts w:ascii="Cambria" w:hAnsi="Cambria" w:cs="Arial"/>
          <w:b/>
          <w:sz w:val="24"/>
          <w:szCs w:val="24"/>
        </w:rPr>
      </w:pPr>
    </w:p>
    <w:sectPr w:rsidR="005D0E1C" w:rsidRPr="005D0E1C" w:rsidSect="004B6A42">
      <w:headerReference w:type="even" r:id="rId8"/>
      <w:headerReference w:type="default" r:id="rId9"/>
      <w:footerReference w:type="default" r:id="rId10"/>
      <w:pgSz w:w="11906" w:h="16838"/>
      <w:pgMar w:top="1417" w:right="1417" w:bottom="1417" w:left="1417"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74289" w14:textId="77777777" w:rsidR="00A1073E" w:rsidRDefault="00A1073E" w:rsidP="001675E0">
      <w:pPr>
        <w:spacing w:line="240" w:lineRule="auto"/>
      </w:pPr>
      <w:r>
        <w:separator/>
      </w:r>
    </w:p>
  </w:endnote>
  <w:endnote w:type="continuationSeparator" w:id="0">
    <w:p w14:paraId="491431B7" w14:textId="77777777" w:rsidR="00A1073E" w:rsidRDefault="00A1073E" w:rsidP="001675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umnst777PL">
    <w:panose1 w:val="00000000000000000000"/>
    <w:charset w:val="02"/>
    <w:family w:val="decorative"/>
    <w:notTrueType/>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761561"/>
      <w:docPartObj>
        <w:docPartGallery w:val="Page Numbers (Bottom of Page)"/>
        <w:docPartUnique/>
      </w:docPartObj>
    </w:sdtPr>
    <w:sdtEndPr>
      <w:rPr>
        <w:rFonts w:ascii="Cambria" w:hAnsi="Cambria"/>
      </w:rPr>
    </w:sdtEndPr>
    <w:sdtContent>
      <w:p w14:paraId="1C6F7DA1" w14:textId="77777777" w:rsidR="002642A3" w:rsidRDefault="002642A3">
        <w:pPr>
          <w:pStyle w:val="Stopka"/>
          <w:jc w:val="center"/>
          <w:rPr>
            <w:rFonts w:ascii="Cambria" w:hAnsi="Cambria"/>
          </w:rPr>
        </w:pPr>
      </w:p>
      <w:p w14:paraId="44DD7D51" w14:textId="7C333B50" w:rsidR="004B6A42" w:rsidRPr="002642A3" w:rsidRDefault="004B6A42">
        <w:pPr>
          <w:pStyle w:val="Stopka"/>
          <w:jc w:val="center"/>
          <w:rPr>
            <w:rFonts w:ascii="Cambria" w:hAnsi="Cambria"/>
          </w:rPr>
        </w:pPr>
        <w:r w:rsidRPr="002642A3">
          <w:rPr>
            <w:rFonts w:ascii="Cambria" w:hAnsi="Cambria"/>
          </w:rPr>
          <w:fldChar w:fldCharType="begin"/>
        </w:r>
        <w:r w:rsidRPr="002642A3">
          <w:rPr>
            <w:rFonts w:ascii="Cambria" w:hAnsi="Cambria"/>
          </w:rPr>
          <w:instrText>PAGE   \* MERGEFORMAT</w:instrText>
        </w:r>
        <w:r w:rsidRPr="002642A3">
          <w:rPr>
            <w:rFonts w:ascii="Cambria" w:hAnsi="Cambria"/>
          </w:rPr>
          <w:fldChar w:fldCharType="separate"/>
        </w:r>
        <w:r w:rsidR="003017B3">
          <w:rPr>
            <w:rFonts w:ascii="Cambria" w:hAnsi="Cambria"/>
            <w:noProof/>
          </w:rPr>
          <w:t>8</w:t>
        </w:r>
        <w:r w:rsidRPr="002642A3">
          <w:rPr>
            <w:rFonts w:ascii="Cambria" w:hAnsi="Cambria"/>
          </w:rPr>
          <w:fldChar w:fldCharType="end"/>
        </w:r>
      </w:p>
    </w:sdtContent>
  </w:sdt>
  <w:p w14:paraId="4CEA2EDD" w14:textId="77777777" w:rsidR="00716969" w:rsidRDefault="007169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9A87E" w14:textId="77777777" w:rsidR="00A1073E" w:rsidRDefault="00A1073E" w:rsidP="001675E0">
      <w:pPr>
        <w:spacing w:line="240" w:lineRule="auto"/>
      </w:pPr>
      <w:r>
        <w:separator/>
      </w:r>
    </w:p>
  </w:footnote>
  <w:footnote w:type="continuationSeparator" w:id="0">
    <w:p w14:paraId="329FA4BB" w14:textId="77777777" w:rsidR="00A1073E" w:rsidRDefault="00A1073E" w:rsidP="001675E0">
      <w:pPr>
        <w:spacing w:line="240" w:lineRule="auto"/>
      </w:pPr>
      <w:r>
        <w:continuationSeparator/>
      </w:r>
    </w:p>
  </w:footnote>
  <w:footnote w:id="1">
    <w:p w14:paraId="788CE8E8" w14:textId="7497131C" w:rsidR="00CB5380" w:rsidRPr="00CB5380" w:rsidRDefault="00CB5380">
      <w:pPr>
        <w:pStyle w:val="Tekstprzypisudolnego"/>
        <w:rPr>
          <w:rFonts w:ascii="Cambria" w:hAnsi="Cambria"/>
        </w:rPr>
      </w:pPr>
      <w:r w:rsidRPr="00CB5380">
        <w:rPr>
          <w:rStyle w:val="Odwoanieprzypisudolnego"/>
          <w:rFonts w:ascii="Cambria" w:hAnsi="Cambria"/>
        </w:rPr>
        <w:footnoteRef/>
      </w:r>
      <w:r w:rsidRPr="00CB5380">
        <w:rPr>
          <w:rFonts w:ascii="Cambria" w:hAnsi="Cambria"/>
        </w:rPr>
        <w:t xml:space="preserve"> </w:t>
      </w:r>
      <w:r w:rsidR="00FA14BC">
        <w:rPr>
          <w:rFonts w:ascii="Cambria" w:hAnsi="Cambria"/>
        </w:rPr>
        <w:t>A</w:t>
      </w:r>
      <w:r>
        <w:rPr>
          <w:rFonts w:ascii="Cambria" w:hAnsi="Cambria"/>
        </w:rPr>
        <w:t xml:space="preserve">rt. 49a ust. 2 ustawy o zapasach odnosi się do stanu nadzwyczajnego, o którym </w:t>
      </w:r>
      <w:r w:rsidRPr="00CB5380">
        <w:rPr>
          <w:rFonts w:ascii="Cambria" w:hAnsi="Cambria"/>
        </w:rPr>
        <w:t>mowa w art. 11 ust. 1 li</w:t>
      </w:r>
      <w:r>
        <w:rPr>
          <w:rFonts w:ascii="Cambria" w:hAnsi="Cambria"/>
        </w:rPr>
        <w:t>t. </w:t>
      </w:r>
      <w:r w:rsidR="00FA14BC">
        <w:rPr>
          <w:rFonts w:ascii="Cambria" w:hAnsi="Cambria"/>
        </w:rPr>
        <w:t>c rozporządzenia</w:t>
      </w:r>
      <w:r>
        <w:rPr>
          <w:rFonts w:ascii="Cambria" w:hAnsi="Cambria"/>
        </w:rPr>
        <w:t xml:space="preserve"> parlamentu europejskiego i rady (UE) </w:t>
      </w:r>
      <w:r w:rsidRPr="00CB5380">
        <w:rPr>
          <w:rFonts w:ascii="Cambria" w:hAnsi="Cambria"/>
        </w:rPr>
        <w:t>2017/1938</w:t>
      </w:r>
      <w:r>
        <w:rPr>
          <w:rFonts w:ascii="Cambria" w:hAnsi="Cambria"/>
        </w:rPr>
        <w:t xml:space="preserve"> z dnia 25 października 2017 r. dotyczącego środków zapewniających bezpieczeństwo dostaw gazu ziemnego i uchylające</w:t>
      </w:r>
      <w:r w:rsidR="00FA14BC">
        <w:rPr>
          <w:rFonts w:ascii="Cambria" w:hAnsi="Cambria"/>
        </w:rPr>
        <w:t>go</w:t>
      </w:r>
      <w:r>
        <w:rPr>
          <w:rFonts w:ascii="Cambria" w:hAnsi="Cambria"/>
        </w:rPr>
        <w:t xml:space="preserve"> rozporządzenie (UE) nr 994/2010</w:t>
      </w:r>
      <w:r w:rsidR="003017B3">
        <w:rPr>
          <w:rFonts w:ascii="Cambria" w:hAnsi="Cambria"/>
        </w:rPr>
        <w:t xml:space="preserve"> (Dz. Urz.</w:t>
      </w:r>
      <w:bookmarkStart w:id="2" w:name="_GoBack"/>
      <w:bookmarkEnd w:id="2"/>
      <w:r w:rsidR="003017B3">
        <w:rPr>
          <w:rFonts w:ascii="Cambria" w:hAnsi="Cambria"/>
        </w:rPr>
        <w:t xml:space="preserve"> UE z 2017 r. L280, str. 1-56)</w:t>
      </w:r>
      <w:r w:rsidR="00FA14BC">
        <w:rPr>
          <w:rFonts w:ascii="Cambria" w:hAnsi="Cambria"/>
        </w:rPr>
        <w:t>.</w:t>
      </w:r>
    </w:p>
  </w:footnote>
  <w:footnote w:id="2">
    <w:p w14:paraId="608F727F" w14:textId="2F022180" w:rsidR="00BB5035" w:rsidRPr="00BB5035" w:rsidRDefault="00BB5035" w:rsidP="00BB5035">
      <w:pPr>
        <w:pStyle w:val="Tekstprzypisudolnego"/>
        <w:rPr>
          <w:rFonts w:ascii="Cambria" w:hAnsi="Cambria"/>
        </w:rPr>
      </w:pPr>
      <w:r w:rsidRPr="00BB5035">
        <w:rPr>
          <w:rStyle w:val="Odwoanieprzypisudolnego"/>
          <w:rFonts w:ascii="Cambria" w:hAnsi="Cambria"/>
        </w:rPr>
        <w:footnoteRef/>
      </w:r>
      <w:r w:rsidRPr="00BB5035">
        <w:rPr>
          <w:rFonts w:ascii="Cambria" w:hAnsi="Cambria"/>
        </w:rPr>
        <w:t xml:space="preserve"> </w:t>
      </w:r>
      <w:r w:rsidR="00FA14BC">
        <w:rPr>
          <w:rFonts w:ascii="Cambria" w:hAnsi="Cambria"/>
        </w:rPr>
        <w:t>W</w:t>
      </w:r>
      <w:r w:rsidRPr="00BB5035">
        <w:rPr>
          <w:rFonts w:ascii="Cambria" w:hAnsi="Cambria"/>
        </w:rPr>
        <w:t xml:space="preserve"> związku z </w:t>
      </w:r>
      <w:r w:rsidR="00274C67">
        <w:rPr>
          <w:rFonts w:ascii="Cambria" w:hAnsi="Cambria"/>
        </w:rPr>
        <w:t xml:space="preserve">art. 58 ust. 3, art. 63 ust. 1 pkt 11 </w:t>
      </w:r>
      <w:r w:rsidR="00BF0F1E">
        <w:rPr>
          <w:rFonts w:ascii="Cambria" w:hAnsi="Cambria"/>
        </w:rPr>
        <w:t>ustawy o zapasach oraz § 6 ust. 6 pkt 2 rozporządzenia.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256C8" w14:textId="20E2F28E" w:rsidR="00716969" w:rsidRPr="00CD7538" w:rsidRDefault="00716969" w:rsidP="00CD7538">
    <w:pPr>
      <w:pStyle w:val="Nagwek"/>
      <w:jc w:val="center"/>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95F73" w14:textId="77777777" w:rsidR="00595591" w:rsidRDefault="00595591" w:rsidP="00031DFD">
    <w:pPr>
      <w:pStyle w:val="Nagwek"/>
      <w:rPr>
        <w:rFonts w:ascii="Cambria" w:hAnsi="Cambria"/>
      </w:rPr>
    </w:pPr>
  </w:p>
  <w:p w14:paraId="715FBBB1" w14:textId="77777777" w:rsidR="00CE6747" w:rsidRDefault="004B6A42" w:rsidP="00031DFD">
    <w:pPr>
      <w:pStyle w:val="Nagwek"/>
      <w:rPr>
        <w:rFonts w:ascii="Cambria" w:hAnsi="Cambria"/>
      </w:rPr>
    </w:pPr>
    <w:r w:rsidRPr="004B6A42">
      <w:rPr>
        <w:rFonts w:ascii="Cambria" w:hAnsi="Cambria"/>
      </w:rPr>
      <w:ptab w:relativeTo="margin" w:alignment="center" w:leader="none"/>
    </w:r>
  </w:p>
  <w:p w14:paraId="212DD724" w14:textId="00B06BB1" w:rsidR="00031DFD" w:rsidRDefault="004B6A42" w:rsidP="00031DFD">
    <w:pPr>
      <w:pStyle w:val="Nagwek"/>
    </w:pPr>
    <w:r w:rsidRPr="004B6A42">
      <w:rPr>
        <w:rFonts w:ascii="Cambria" w:hAnsi="Cambria"/>
      </w:rPr>
      <w:ptab w:relativeTo="margin" w:alignment="right" w:leader="none"/>
    </w:r>
  </w:p>
  <w:p w14:paraId="42F4A3BA" w14:textId="77777777" w:rsidR="004B6A42" w:rsidRPr="00031DFD" w:rsidRDefault="004B6A42" w:rsidP="00031DF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77672"/>
    <w:multiLevelType w:val="hybridMultilevel"/>
    <w:tmpl w:val="87541DB6"/>
    <w:lvl w:ilvl="0" w:tplc="777664C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2B309F4"/>
    <w:multiLevelType w:val="hybridMultilevel"/>
    <w:tmpl w:val="2BDAD9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D2D0354"/>
    <w:multiLevelType w:val="hybridMultilevel"/>
    <w:tmpl w:val="E4B81196"/>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560139A"/>
    <w:multiLevelType w:val="multilevel"/>
    <w:tmpl w:val="426452FE"/>
    <w:lvl w:ilvl="0">
      <w:start w:val="1"/>
      <w:numFmt w:val="decimal"/>
      <w:pStyle w:val="Nagwek1"/>
      <w:lvlText w:val="%1."/>
      <w:lvlJc w:val="left"/>
      <w:pPr>
        <w:ind w:left="567" w:hanging="567"/>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850" w:firstLine="0"/>
      </w:pPr>
      <w:rPr>
        <w:rFonts w:hint="default"/>
      </w:rPr>
    </w:lvl>
    <w:lvl w:ilvl="3">
      <w:start w:val="1"/>
      <w:numFmt w:val="decimal"/>
      <w:isLgl/>
      <w:lvlText w:val="%1.%2.%3.%4."/>
      <w:lvlJc w:val="left"/>
      <w:pPr>
        <w:ind w:left="2562" w:hanging="72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95A167D"/>
    <w:multiLevelType w:val="hybridMultilevel"/>
    <w:tmpl w:val="FF3E9F46"/>
    <w:lvl w:ilvl="0" w:tplc="22044DE2">
      <w:start w:val="1"/>
      <w:numFmt w:val="decimal"/>
      <w:pStyle w:val="Nagwek2"/>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401FEC"/>
    <w:multiLevelType w:val="hybridMultilevel"/>
    <w:tmpl w:val="ABD0BA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D10745E"/>
    <w:multiLevelType w:val="multilevel"/>
    <w:tmpl w:val="212C1C9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5F7A8A"/>
    <w:multiLevelType w:val="hybridMultilevel"/>
    <w:tmpl w:val="8084B2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D005BB3"/>
    <w:multiLevelType w:val="multilevel"/>
    <w:tmpl w:val="EF623FA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65706E"/>
    <w:multiLevelType w:val="hybridMultilevel"/>
    <w:tmpl w:val="F7807FFC"/>
    <w:lvl w:ilvl="0" w:tplc="777664CA">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0" w15:restartNumberingAfterBreak="0">
    <w:nsid w:val="495A4CEA"/>
    <w:multiLevelType w:val="hybridMultilevel"/>
    <w:tmpl w:val="E46CA890"/>
    <w:lvl w:ilvl="0" w:tplc="0630A51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A5E4B84"/>
    <w:multiLevelType w:val="hybridMultilevel"/>
    <w:tmpl w:val="D5E8A2E6"/>
    <w:lvl w:ilvl="0" w:tplc="0415001B">
      <w:start w:val="1"/>
      <w:numFmt w:val="lowerRoman"/>
      <w:lvlText w:val="%1."/>
      <w:lvlJc w:val="righ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2" w15:restartNumberingAfterBreak="0">
    <w:nsid w:val="4B140C5A"/>
    <w:multiLevelType w:val="multilevel"/>
    <w:tmpl w:val="212C1C9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51247F"/>
    <w:multiLevelType w:val="hybridMultilevel"/>
    <w:tmpl w:val="82E2A996"/>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D445F43"/>
    <w:multiLevelType w:val="hybridMultilevel"/>
    <w:tmpl w:val="8084B2B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35E110A"/>
    <w:multiLevelType w:val="multilevel"/>
    <w:tmpl w:val="A63E1C3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C82EBB"/>
    <w:multiLevelType w:val="multilevel"/>
    <w:tmpl w:val="042EB45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E96D8A"/>
    <w:multiLevelType w:val="hybridMultilevel"/>
    <w:tmpl w:val="2946CF86"/>
    <w:lvl w:ilvl="0" w:tplc="E74001F0">
      <w:start w:val="1"/>
      <w:numFmt w:val="decimal"/>
      <w:lvlText w:val="%1)"/>
      <w:lvlJc w:val="left"/>
      <w:pPr>
        <w:ind w:left="501" w:hanging="360"/>
      </w:pPr>
      <w:rPr>
        <w:b w:val="0"/>
        <w:bCs/>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8" w15:restartNumberingAfterBreak="0">
    <w:nsid w:val="5DDD20F7"/>
    <w:multiLevelType w:val="hybridMultilevel"/>
    <w:tmpl w:val="A044DCC0"/>
    <w:lvl w:ilvl="0" w:tplc="4574D5F0">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1A54570"/>
    <w:multiLevelType w:val="hybridMultilevel"/>
    <w:tmpl w:val="356606DC"/>
    <w:lvl w:ilvl="0" w:tplc="0415001B">
      <w:start w:val="1"/>
      <w:numFmt w:val="lowerRoman"/>
      <w:lvlText w:val="%1."/>
      <w:lvlJc w:val="righ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0" w15:restartNumberingAfterBreak="0">
    <w:nsid w:val="6E323DFB"/>
    <w:multiLevelType w:val="hybridMultilevel"/>
    <w:tmpl w:val="F29A81E6"/>
    <w:lvl w:ilvl="0" w:tplc="FDA0B162">
      <w:start w:val="1"/>
      <w:numFmt w:val="decimal"/>
      <w:lvlText w:val="%1)"/>
      <w:lvlJc w:val="left"/>
      <w:pPr>
        <w:ind w:left="1080" w:hanging="360"/>
      </w:pPr>
      <w:rPr>
        <w:b w:val="0"/>
        <w:bCs/>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39B4B5C"/>
    <w:multiLevelType w:val="hybridMultilevel"/>
    <w:tmpl w:val="17743488"/>
    <w:lvl w:ilvl="0" w:tplc="04150017">
      <w:start w:val="1"/>
      <w:numFmt w:val="lowerLetter"/>
      <w:lvlText w:val="%1)"/>
      <w:lvlJc w:val="left"/>
      <w:pPr>
        <w:ind w:left="874" w:hanging="360"/>
      </w:pPr>
    </w:lvl>
    <w:lvl w:ilvl="1" w:tplc="04150019" w:tentative="1">
      <w:start w:val="1"/>
      <w:numFmt w:val="lowerLetter"/>
      <w:lvlText w:val="%2."/>
      <w:lvlJc w:val="left"/>
      <w:pPr>
        <w:ind w:left="1594" w:hanging="360"/>
      </w:pPr>
    </w:lvl>
    <w:lvl w:ilvl="2" w:tplc="0415001B" w:tentative="1">
      <w:start w:val="1"/>
      <w:numFmt w:val="lowerRoman"/>
      <w:lvlText w:val="%3."/>
      <w:lvlJc w:val="right"/>
      <w:pPr>
        <w:ind w:left="2314" w:hanging="180"/>
      </w:pPr>
    </w:lvl>
    <w:lvl w:ilvl="3" w:tplc="0415000F" w:tentative="1">
      <w:start w:val="1"/>
      <w:numFmt w:val="decimal"/>
      <w:lvlText w:val="%4."/>
      <w:lvlJc w:val="left"/>
      <w:pPr>
        <w:ind w:left="3034" w:hanging="360"/>
      </w:pPr>
    </w:lvl>
    <w:lvl w:ilvl="4" w:tplc="04150019" w:tentative="1">
      <w:start w:val="1"/>
      <w:numFmt w:val="lowerLetter"/>
      <w:lvlText w:val="%5."/>
      <w:lvlJc w:val="left"/>
      <w:pPr>
        <w:ind w:left="3754" w:hanging="360"/>
      </w:pPr>
    </w:lvl>
    <w:lvl w:ilvl="5" w:tplc="0415001B" w:tentative="1">
      <w:start w:val="1"/>
      <w:numFmt w:val="lowerRoman"/>
      <w:lvlText w:val="%6."/>
      <w:lvlJc w:val="right"/>
      <w:pPr>
        <w:ind w:left="4474" w:hanging="180"/>
      </w:pPr>
    </w:lvl>
    <w:lvl w:ilvl="6" w:tplc="0415000F" w:tentative="1">
      <w:start w:val="1"/>
      <w:numFmt w:val="decimal"/>
      <w:lvlText w:val="%7."/>
      <w:lvlJc w:val="left"/>
      <w:pPr>
        <w:ind w:left="5194" w:hanging="360"/>
      </w:pPr>
    </w:lvl>
    <w:lvl w:ilvl="7" w:tplc="04150019" w:tentative="1">
      <w:start w:val="1"/>
      <w:numFmt w:val="lowerLetter"/>
      <w:lvlText w:val="%8."/>
      <w:lvlJc w:val="left"/>
      <w:pPr>
        <w:ind w:left="5914" w:hanging="360"/>
      </w:pPr>
    </w:lvl>
    <w:lvl w:ilvl="8" w:tplc="0415001B" w:tentative="1">
      <w:start w:val="1"/>
      <w:numFmt w:val="lowerRoman"/>
      <w:lvlText w:val="%9."/>
      <w:lvlJc w:val="right"/>
      <w:pPr>
        <w:ind w:left="6634" w:hanging="180"/>
      </w:pPr>
    </w:lvl>
  </w:abstractNum>
  <w:abstractNum w:abstractNumId="22" w15:restartNumberingAfterBreak="0">
    <w:nsid w:val="75E8248A"/>
    <w:multiLevelType w:val="hybridMultilevel"/>
    <w:tmpl w:val="110C3E2E"/>
    <w:lvl w:ilvl="0" w:tplc="04150017">
      <w:start w:val="1"/>
      <w:numFmt w:val="lowerLetter"/>
      <w:lvlText w:val="%1)"/>
      <w:lvlJc w:val="left"/>
      <w:pPr>
        <w:ind w:left="928" w:hanging="360"/>
      </w:pPr>
    </w:lvl>
    <w:lvl w:ilvl="1" w:tplc="B478DA62">
      <w:start w:val="1"/>
      <w:numFmt w:val="decimal"/>
      <w:lvlText w:val="%2)"/>
      <w:lvlJc w:val="left"/>
      <w:pPr>
        <w:ind w:left="1648" w:hanging="360"/>
      </w:pPr>
      <w:rPr>
        <w:rFonts w:ascii="Cambria" w:eastAsia="Times New Roman" w:hAnsi="Cambria" w:cs="Times New Roman"/>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771415BC"/>
    <w:multiLevelType w:val="hybridMultilevel"/>
    <w:tmpl w:val="F1529660"/>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8B45E4F"/>
    <w:multiLevelType w:val="hybridMultilevel"/>
    <w:tmpl w:val="05E47E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D7376E0"/>
    <w:multiLevelType w:val="hybridMultilevel"/>
    <w:tmpl w:val="68A01EC8"/>
    <w:lvl w:ilvl="0" w:tplc="777664CA">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num w:numId="1">
    <w:abstractNumId w:val="4"/>
  </w:num>
  <w:num w:numId="2">
    <w:abstractNumId w:val="3"/>
  </w:num>
  <w:num w:numId="3">
    <w:abstractNumId w:val="22"/>
  </w:num>
  <w:num w:numId="4">
    <w:abstractNumId w:val="18"/>
  </w:num>
  <w:num w:numId="5">
    <w:abstractNumId w:val="23"/>
  </w:num>
  <w:num w:numId="6">
    <w:abstractNumId w:val="20"/>
  </w:num>
  <w:num w:numId="7">
    <w:abstractNumId w:val="24"/>
  </w:num>
  <w:num w:numId="8">
    <w:abstractNumId w:val="17"/>
  </w:num>
  <w:num w:numId="9">
    <w:abstractNumId w:val="10"/>
  </w:num>
  <w:num w:numId="10">
    <w:abstractNumId w:val="21"/>
  </w:num>
  <w:num w:numId="11">
    <w:abstractNumId w:val="7"/>
  </w:num>
  <w:num w:numId="12">
    <w:abstractNumId w:val="2"/>
  </w:num>
  <w:num w:numId="13">
    <w:abstractNumId w:val="11"/>
  </w:num>
  <w:num w:numId="14">
    <w:abstractNumId w:val="13"/>
  </w:num>
  <w:num w:numId="15">
    <w:abstractNumId w:val="19"/>
  </w:num>
  <w:num w:numId="16">
    <w:abstractNumId w:val="12"/>
  </w:num>
  <w:num w:numId="17">
    <w:abstractNumId w:val="1"/>
  </w:num>
  <w:num w:numId="18">
    <w:abstractNumId w:val="6"/>
  </w:num>
  <w:num w:numId="19">
    <w:abstractNumId w:val="16"/>
  </w:num>
  <w:num w:numId="20">
    <w:abstractNumId w:val="5"/>
  </w:num>
  <w:num w:numId="21">
    <w:abstractNumId w:val="0"/>
  </w:num>
  <w:num w:numId="22">
    <w:abstractNumId w:val="9"/>
  </w:num>
  <w:num w:numId="23">
    <w:abstractNumId w:val="14"/>
  </w:num>
  <w:num w:numId="24">
    <w:abstractNumId w:val="25"/>
  </w:num>
  <w:num w:numId="25">
    <w:abstractNumId w:val="8"/>
  </w:num>
  <w:num w:numId="26">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88B"/>
    <w:rsid w:val="00003DC0"/>
    <w:rsid w:val="00016735"/>
    <w:rsid w:val="00016BC4"/>
    <w:rsid w:val="00022051"/>
    <w:rsid w:val="00023C29"/>
    <w:rsid w:val="0002647C"/>
    <w:rsid w:val="00027D2D"/>
    <w:rsid w:val="00030825"/>
    <w:rsid w:val="00031DFD"/>
    <w:rsid w:val="00031F74"/>
    <w:rsid w:val="000325AF"/>
    <w:rsid w:val="000369E8"/>
    <w:rsid w:val="000468E4"/>
    <w:rsid w:val="0004690B"/>
    <w:rsid w:val="000536DC"/>
    <w:rsid w:val="0005473E"/>
    <w:rsid w:val="000575F6"/>
    <w:rsid w:val="00065598"/>
    <w:rsid w:val="00066674"/>
    <w:rsid w:val="000669CC"/>
    <w:rsid w:val="00066C03"/>
    <w:rsid w:val="00074EB3"/>
    <w:rsid w:val="000750E6"/>
    <w:rsid w:val="00082B6B"/>
    <w:rsid w:val="00087076"/>
    <w:rsid w:val="0009130C"/>
    <w:rsid w:val="00093EBB"/>
    <w:rsid w:val="0009779F"/>
    <w:rsid w:val="000A13CF"/>
    <w:rsid w:val="000A27D9"/>
    <w:rsid w:val="000A6439"/>
    <w:rsid w:val="000A7B03"/>
    <w:rsid w:val="000B20CE"/>
    <w:rsid w:val="000B38E4"/>
    <w:rsid w:val="000B3E4E"/>
    <w:rsid w:val="000B78A4"/>
    <w:rsid w:val="000C19EA"/>
    <w:rsid w:val="000C5B89"/>
    <w:rsid w:val="000D60D9"/>
    <w:rsid w:val="000E749A"/>
    <w:rsid w:val="000E7D5C"/>
    <w:rsid w:val="000F482D"/>
    <w:rsid w:val="000F6A65"/>
    <w:rsid w:val="0010459E"/>
    <w:rsid w:val="001100A2"/>
    <w:rsid w:val="001148C6"/>
    <w:rsid w:val="00116832"/>
    <w:rsid w:val="0011750F"/>
    <w:rsid w:val="00117665"/>
    <w:rsid w:val="0012241B"/>
    <w:rsid w:val="001233C2"/>
    <w:rsid w:val="0013394D"/>
    <w:rsid w:val="00133B82"/>
    <w:rsid w:val="001364B0"/>
    <w:rsid w:val="00141ED5"/>
    <w:rsid w:val="001513EC"/>
    <w:rsid w:val="00151C68"/>
    <w:rsid w:val="00157B6A"/>
    <w:rsid w:val="001675E0"/>
    <w:rsid w:val="00175729"/>
    <w:rsid w:val="00177221"/>
    <w:rsid w:val="0018038E"/>
    <w:rsid w:val="0018146A"/>
    <w:rsid w:val="00182408"/>
    <w:rsid w:val="001866B0"/>
    <w:rsid w:val="00190206"/>
    <w:rsid w:val="00195639"/>
    <w:rsid w:val="00197341"/>
    <w:rsid w:val="001A00BA"/>
    <w:rsid w:val="001A17CE"/>
    <w:rsid w:val="001B30E5"/>
    <w:rsid w:val="001B3F89"/>
    <w:rsid w:val="001B50DB"/>
    <w:rsid w:val="001B6979"/>
    <w:rsid w:val="001B7C63"/>
    <w:rsid w:val="001C022A"/>
    <w:rsid w:val="001C234A"/>
    <w:rsid w:val="001C248E"/>
    <w:rsid w:val="001C3605"/>
    <w:rsid w:val="001C5D30"/>
    <w:rsid w:val="001C7432"/>
    <w:rsid w:val="001D3BAE"/>
    <w:rsid w:val="001D6B88"/>
    <w:rsid w:val="001D7493"/>
    <w:rsid w:val="001E1CAA"/>
    <w:rsid w:val="001E2041"/>
    <w:rsid w:val="001E2BDC"/>
    <w:rsid w:val="001E3B1F"/>
    <w:rsid w:val="001E4183"/>
    <w:rsid w:val="001F163B"/>
    <w:rsid w:val="00203E7D"/>
    <w:rsid w:val="0020411D"/>
    <w:rsid w:val="00211E0F"/>
    <w:rsid w:val="00215C8E"/>
    <w:rsid w:val="00215F02"/>
    <w:rsid w:val="00220C85"/>
    <w:rsid w:val="00220D40"/>
    <w:rsid w:val="00224409"/>
    <w:rsid w:val="0022553B"/>
    <w:rsid w:val="002266B1"/>
    <w:rsid w:val="0023099F"/>
    <w:rsid w:val="002327C9"/>
    <w:rsid w:val="00241671"/>
    <w:rsid w:val="002424DB"/>
    <w:rsid w:val="00245D4B"/>
    <w:rsid w:val="002460ED"/>
    <w:rsid w:val="00254C1E"/>
    <w:rsid w:val="002550D7"/>
    <w:rsid w:val="0025545A"/>
    <w:rsid w:val="002562E3"/>
    <w:rsid w:val="00261A6E"/>
    <w:rsid w:val="002642A3"/>
    <w:rsid w:val="00266294"/>
    <w:rsid w:val="00267E11"/>
    <w:rsid w:val="0027152F"/>
    <w:rsid w:val="00274C67"/>
    <w:rsid w:val="00276797"/>
    <w:rsid w:val="00286F0A"/>
    <w:rsid w:val="002947E3"/>
    <w:rsid w:val="00297A78"/>
    <w:rsid w:val="002A23A1"/>
    <w:rsid w:val="002A2619"/>
    <w:rsid w:val="002A5419"/>
    <w:rsid w:val="002A74A8"/>
    <w:rsid w:val="002B1EA4"/>
    <w:rsid w:val="002B3E45"/>
    <w:rsid w:val="002B4920"/>
    <w:rsid w:val="002B5ED3"/>
    <w:rsid w:val="002B628D"/>
    <w:rsid w:val="002B7785"/>
    <w:rsid w:val="002C0C02"/>
    <w:rsid w:val="002D7EBD"/>
    <w:rsid w:val="002E16B1"/>
    <w:rsid w:val="002E7745"/>
    <w:rsid w:val="002F0505"/>
    <w:rsid w:val="002F3CF6"/>
    <w:rsid w:val="002F7B82"/>
    <w:rsid w:val="00300719"/>
    <w:rsid w:val="00301251"/>
    <w:rsid w:val="003017B3"/>
    <w:rsid w:val="003036CC"/>
    <w:rsid w:val="003050D3"/>
    <w:rsid w:val="00311C2E"/>
    <w:rsid w:val="0032038F"/>
    <w:rsid w:val="003204A4"/>
    <w:rsid w:val="00322584"/>
    <w:rsid w:val="003305C6"/>
    <w:rsid w:val="0033076C"/>
    <w:rsid w:val="00332B6C"/>
    <w:rsid w:val="003338F2"/>
    <w:rsid w:val="0034046E"/>
    <w:rsid w:val="003430A1"/>
    <w:rsid w:val="00345BBD"/>
    <w:rsid w:val="003524AC"/>
    <w:rsid w:val="0036328E"/>
    <w:rsid w:val="003637E3"/>
    <w:rsid w:val="00364D7F"/>
    <w:rsid w:val="00364E43"/>
    <w:rsid w:val="00365146"/>
    <w:rsid w:val="00366D82"/>
    <w:rsid w:val="00366E2B"/>
    <w:rsid w:val="0037170C"/>
    <w:rsid w:val="00371FB5"/>
    <w:rsid w:val="00382895"/>
    <w:rsid w:val="003849C5"/>
    <w:rsid w:val="00384DD6"/>
    <w:rsid w:val="00392F62"/>
    <w:rsid w:val="003938BE"/>
    <w:rsid w:val="003B4966"/>
    <w:rsid w:val="003B5203"/>
    <w:rsid w:val="003C12BA"/>
    <w:rsid w:val="003C564C"/>
    <w:rsid w:val="003C714C"/>
    <w:rsid w:val="003D225A"/>
    <w:rsid w:val="003D2B7A"/>
    <w:rsid w:val="003D5572"/>
    <w:rsid w:val="003D6151"/>
    <w:rsid w:val="003D6BE6"/>
    <w:rsid w:val="003E6F08"/>
    <w:rsid w:val="003F41EE"/>
    <w:rsid w:val="004007DA"/>
    <w:rsid w:val="00405586"/>
    <w:rsid w:val="00412EF0"/>
    <w:rsid w:val="00413BC9"/>
    <w:rsid w:val="004167C2"/>
    <w:rsid w:val="00416BF0"/>
    <w:rsid w:val="00420534"/>
    <w:rsid w:val="004206CC"/>
    <w:rsid w:val="004206F5"/>
    <w:rsid w:val="004225AA"/>
    <w:rsid w:val="00424EEC"/>
    <w:rsid w:val="004306F0"/>
    <w:rsid w:val="00435805"/>
    <w:rsid w:val="00435B7A"/>
    <w:rsid w:val="00437A0B"/>
    <w:rsid w:val="004425C1"/>
    <w:rsid w:val="00443AF4"/>
    <w:rsid w:val="00443E21"/>
    <w:rsid w:val="004458C3"/>
    <w:rsid w:val="00456A60"/>
    <w:rsid w:val="004600C6"/>
    <w:rsid w:val="0046179F"/>
    <w:rsid w:val="00463D05"/>
    <w:rsid w:val="00470034"/>
    <w:rsid w:val="004703A3"/>
    <w:rsid w:val="0047138E"/>
    <w:rsid w:val="00473351"/>
    <w:rsid w:val="004779E9"/>
    <w:rsid w:val="0048015E"/>
    <w:rsid w:val="00483DD2"/>
    <w:rsid w:val="00485003"/>
    <w:rsid w:val="004852AD"/>
    <w:rsid w:val="00487227"/>
    <w:rsid w:val="00491512"/>
    <w:rsid w:val="004937E9"/>
    <w:rsid w:val="004A0354"/>
    <w:rsid w:val="004A6D2A"/>
    <w:rsid w:val="004A733F"/>
    <w:rsid w:val="004A7EC2"/>
    <w:rsid w:val="004B1EA9"/>
    <w:rsid w:val="004B6A42"/>
    <w:rsid w:val="004D0E96"/>
    <w:rsid w:val="004D290E"/>
    <w:rsid w:val="004D2F88"/>
    <w:rsid w:val="004D315D"/>
    <w:rsid w:val="004E50AE"/>
    <w:rsid w:val="004E729E"/>
    <w:rsid w:val="004E79B9"/>
    <w:rsid w:val="004F43B5"/>
    <w:rsid w:val="004F5D84"/>
    <w:rsid w:val="00500393"/>
    <w:rsid w:val="00511F27"/>
    <w:rsid w:val="00513D5F"/>
    <w:rsid w:val="00514B4B"/>
    <w:rsid w:val="005171F8"/>
    <w:rsid w:val="0052256E"/>
    <w:rsid w:val="0052655C"/>
    <w:rsid w:val="0053484F"/>
    <w:rsid w:val="00534A90"/>
    <w:rsid w:val="00534E76"/>
    <w:rsid w:val="00534F10"/>
    <w:rsid w:val="00541325"/>
    <w:rsid w:val="0054340C"/>
    <w:rsid w:val="00544CC0"/>
    <w:rsid w:val="00544EE4"/>
    <w:rsid w:val="00545917"/>
    <w:rsid w:val="0054702B"/>
    <w:rsid w:val="0054754E"/>
    <w:rsid w:val="005506AE"/>
    <w:rsid w:val="00552538"/>
    <w:rsid w:val="00561560"/>
    <w:rsid w:val="00561A82"/>
    <w:rsid w:val="005648CB"/>
    <w:rsid w:val="005719D2"/>
    <w:rsid w:val="005840ED"/>
    <w:rsid w:val="005867F2"/>
    <w:rsid w:val="00586D41"/>
    <w:rsid w:val="00590EE7"/>
    <w:rsid w:val="005913B9"/>
    <w:rsid w:val="00593275"/>
    <w:rsid w:val="005937C1"/>
    <w:rsid w:val="00595591"/>
    <w:rsid w:val="00597813"/>
    <w:rsid w:val="005C38E9"/>
    <w:rsid w:val="005D0E1C"/>
    <w:rsid w:val="005D5CBB"/>
    <w:rsid w:val="005E2E65"/>
    <w:rsid w:val="005E7418"/>
    <w:rsid w:val="005F33B4"/>
    <w:rsid w:val="005F3FD0"/>
    <w:rsid w:val="006000AE"/>
    <w:rsid w:val="00600A03"/>
    <w:rsid w:val="006107AC"/>
    <w:rsid w:val="006139B3"/>
    <w:rsid w:val="006141EC"/>
    <w:rsid w:val="00623C63"/>
    <w:rsid w:val="0062655F"/>
    <w:rsid w:val="0062728C"/>
    <w:rsid w:val="006278EE"/>
    <w:rsid w:val="00634BDA"/>
    <w:rsid w:val="00635324"/>
    <w:rsid w:val="0063610F"/>
    <w:rsid w:val="006375C5"/>
    <w:rsid w:val="00642731"/>
    <w:rsid w:val="006465D2"/>
    <w:rsid w:val="00646918"/>
    <w:rsid w:val="0064765E"/>
    <w:rsid w:val="00652155"/>
    <w:rsid w:val="00652781"/>
    <w:rsid w:val="00653313"/>
    <w:rsid w:val="0065460D"/>
    <w:rsid w:val="00654ED7"/>
    <w:rsid w:val="00664CDA"/>
    <w:rsid w:val="00677D1F"/>
    <w:rsid w:val="00685999"/>
    <w:rsid w:val="00685C36"/>
    <w:rsid w:val="00687C06"/>
    <w:rsid w:val="00694816"/>
    <w:rsid w:val="006A407D"/>
    <w:rsid w:val="006A5688"/>
    <w:rsid w:val="006B0EDD"/>
    <w:rsid w:val="006B0F33"/>
    <w:rsid w:val="006D7339"/>
    <w:rsid w:val="006E2D04"/>
    <w:rsid w:val="006E5C1E"/>
    <w:rsid w:val="006F0E62"/>
    <w:rsid w:val="006F2BBD"/>
    <w:rsid w:val="00711A05"/>
    <w:rsid w:val="0071366C"/>
    <w:rsid w:val="00714C65"/>
    <w:rsid w:val="00716969"/>
    <w:rsid w:val="00720827"/>
    <w:rsid w:val="00722999"/>
    <w:rsid w:val="0072614A"/>
    <w:rsid w:val="007277AC"/>
    <w:rsid w:val="007315FF"/>
    <w:rsid w:val="00734A55"/>
    <w:rsid w:val="007424D3"/>
    <w:rsid w:val="0075025C"/>
    <w:rsid w:val="007522EB"/>
    <w:rsid w:val="00766185"/>
    <w:rsid w:val="0076677F"/>
    <w:rsid w:val="00767463"/>
    <w:rsid w:val="00771729"/>
    <w:rsid w:val="00771B61"/>
    <w:rsid w:val="007772EE"/>
    <w:rsid w:val="00777734"/>
    <w:rsid w:val="007919D5"/>
    <w:rsid w:val="00791A10"/>
    <w:rsid w:val="007940D0"/>
    <w:rsid w:val="00794F1A"/>
    <w:rsid w:val="007A32F4"/>
    <w:rsid w:val="007B00EC"/>
    <w:rsid w:val="007B27A2"/>
    <w:rsid w:val="007B5A54"/>
    <w:rsid w:val="007D16FA"/>
    <w:rsid w:val="007D289A"/>
    <w:rsid w:val="007D7F54"/>
    <w:rsid w:val="007E3017"/>
    <w:rsid w:val="007E7310"/>
    <w:rsid w:val="007F1AEC"/>
    <w:rsid w:val="007F6A16"/>
    <w:rsid w:val="007F74D4"/>
    <w:rsid w:val="008017BE"/>
    <w:rsid w:val="00805329"/>
    <w:rsid w:val="00813783"/>
    <w:rsid w:val="008146B5"/>
    <w:rsid w:val="008205B5"/>
    <w:rsid w:val="00821AB4"/>
    <w:rsid w:val="00823478"/>
    <w:rsid w:val="00824CC4"/>
    <w:rsid w:val="008267B5"/>
    <w:rsid w:val="008276C2"/>
    <w:rsid w:val="00830784"/>
    <w:rsid w:val="00831C71"/>
    <w:rsid w:val="008329B0"/>
    <w:rsid w:val="00837AE6"/>
    <w:rsid w:val="00840C4B"/>
    <w:rsid w:val="00842DB3"/>
    <w:rsid w:val="008471C1"/>
    <w:rsid w:val="00860891"/>
    <w:rsid w:val="00861795"/>
    <w:rsid w:val="0086268D"/>
    <w:rsid w:val="0086459D"/>
    <w:rsid w:val="008679B5"/>
    <w:rsid w:val="00867DD5"/>
    <w:rsid w:val="00873B09"/>
    <w:rsid w:val="00874A6E"/>
    <w:rsid w:val="00875856"/>
    <w:rsid w:val="00877753"/>
    <w:rsid w:val="00882545"/>
    <w:rsid w:val="00890CE8"/>
    <w:rsid w:val="0089145C"/>
    <w:rsid w:val="008924BD"/>
    <w:rsid w:val="00893B98"/>
    <w:rsid w:val="008A17C6"/>
    <w:rsid w:val="008A2B51"/>
    <w:rsid w:val="008A6F07"/>
    <w:rsid w:val="008B6101"/>
    <w:rsid w:val="008C063E"/>
    <w:rsid w:val="008C4C28"/>
    <w:rsid w:val="008C5718"/>
    <w:rsid w:val="008C7ECB"/>
    <w:rsid w:val="008E32BA"/>
    <w:rsid w:val="008E44D8"/>
    <w:rsid w:val="00903B73"/>
    <w:rsid w:val="00904DD0"/>
    <w:rsid w:val="00911627"/>
    <w:rsid w:val="00911746"/>
    <w:rsid w:val="00913179"/>
    <w:rsid w:val="00914149"/>
    <w:rsid w:val="00921569"/>
    <w:rsid w:val="0092199B"/>
    <w:rsid w:val="00922860"/>
    <w:rsid w:val="00924275"/>
    <w:rsid w:val="00924E31"/>
    <w:rsid w:val="009302D2"/>
    <w:rsid w:val="0093731B"/>
    <w:rsid w:val="00943F04"/>
    <w:rsid w:val="00946A8D"/>
    <w:rsid w:val="00951128"/>
    <w:rsid w:val="009512C4"/>
    <w:rsid w:val="00962F91"/>
    <w:rsid w:val="00963636"/>
    <w:rsid w:val="00964206"/>
    <w:rsid w:val="00966FE0"/>
    <w:rsid w:val="00974421"/>
    <w:rsid w:val="00975505"/>
    <w:rsid w:val="00975C29"/>
    <w:rsid w:val="009821C0"/>
    <w:rsid w:val="009960D6"/>
    <w:rsid w:val="009A0C71"/>
    <w:rsid w:val="009A3AA5"/>
    <w:rsid w:val="009B51FE"/>
    <w:rsid w:val="009C0463"/>
    <w:rsid w:val="009C1715"/>
    <w:rsid w:val="009D1D39"/>
    <w:rsid w:val="009D29B3"/>
    <w:rsid w:val="009D2BED"/>
    <w:rsid w:val="009D5607"/>
    <w:rsid w:val="009D5B66"/>
    <w:rsid w:val="009E0CE3"/>
    <w:rsid w:val="009E520A"/>
    <w:rsid w:val="009F4035"/>
    <w:rsid w:val="009F7567"/>
    <w:rsid w:val="009F7EF5"/>
    <w:rsid w:val="00A0403E"/>
    <w:rsid w:val="00A042D3"/>
    <w:rsid w:val="00A04CF9"/>
    <w:rsid w:val="00A05145"/>
    <w:rsid w:val="00A0748C"/>
    <w:rsid w:val="00A07F0D"/>
    <w:rsid w:val="00A1073E"/>
    <w:rsid w:val="00A10A68"/>
    <w:rsid w:val="00A12D66"/>
    <w:rsid w:val="00A12DA3"/>
    <w:rsid w:val="00A13F60"/>
    <w:rsid w:val="00A20994"/>
    <w:rsid w:val="00A219D3"/>
    <w:rsid w:val="00A227F4"/>
    <w:rsid w:val="00A25833"/>
    <w:rsid w:val="00A32937"/>
    <w:rsid w:val="00A373DD"/>
    <w:rsid w:val="00A37D1E"/>
    <w:rsid w:val="00A403F3"/>
    <w:rsid w:val="00A45B5E"/>
    <w:rsid w:val="00A478D2"/>
    <w:rsid w:val="00A52BB2"/>
    <w:rsid w:val="00A52F64"/>
    <w:rsid w:val="00A5349E"/>
    <w:rsid w:val="00A53F34"/>
    <w:rsid w:val="00A66130"/>
    <w:rsid w:val="00A743A1"/>
    <w:rsid w:val="00A77676"/>
    <w:rsid w:val="00A83979"/>
    <w:rsid w:val="00A84A90"/>
    <w:rsid w:val="00A86D4C"/>
    <w:rsid w:val="00A91122"/>
    <w:rsid w:val="00A97F6E"/>
    <w:rsid w:val="00AA1C08"/>
    <w:rsid w:val="00AB1019"/>
    <w:rsid w:val="00AB2100"/>
    <w:rsid w:val="00AB7339"/>
    <w:rsid w:val="00AC0334"/>
    <w:rsid w:val="00AC2CB2"/>
    <w:rsid w:val="00AC46BD"/>
    <w:rsid w:val="00AC4FA6"/>
    <w:rsid w:val="00AC761B"/>
    <w:rsid w:val="00AD0582"/>
    <w:rsid w:val="00AD115F"/>
    <w:rsid w:val="00AD3C78"/>
    <w:rsid w:val="00AD6CB4"/>
    <w:rsid w:val="00AE1C1A"/>
    <w:rsid w:val="00AE5EC1"/>
    <w:rsid w:val="00AF3809"/>
    <w:rsid w:val="00AF52F8"/>
    <w:rsid w:val="00B02408"/>
    <w:rsid w:val="00B072A2"/>
    <w:rsid w:val="00B12062"/>
    <w:rsid w:val="00B12D91"/>
    <w:rsid w:val="00B15684"/>
    <w:rsid w:val="00B263B6"/>
    <w:rsid w:val="00B3643E"/>
    <w:rsid w:val="00B37B56"/>
    <w:rsid w:val="00B4597E"/>
    <w:rsid w:val="00B6181E"/>
    <w:rsid w:val="00B6379D"/>
    <w:rsid w:val="00B6615C"/>
    <w:rsid w:val="00B70776"/>
    <w:rsid w:val="00B731B0"/>
    <w:rsid w:val="00B75179"/>
    <w:rsid w:val="00B837A8"/>
    <w:rsid w:val="00B8613F"/>
    <w:rsid w:val="00B9723A"/>
    <w:rsid w:val="00BA5F78"/>
    <w:rsid w:val="00BB2112"/>
    <w:rsid w:val="00BB5035"/>
    <w:rsid w:val="00BB5781"/>
    <w:rsid w:val="00BB644A"/>
    <w:rsid w:val="00BB6ADC"/>
    <w:rsid w:val="00BC32FA"/>
    <w:rsid w:val="00BC5BAB"/>
    <w:rsid w:val="00BD1EC1"/>
    <w:rsid w:val="00BD23BB"/>
    <w:rsid w:val="00BD378F"/>
    <w:rsid w:val="00BD6D39"/>
    <w:rsid w:val="00BE113A"/>
    <w:rsid w:val="00BE6047"/>
    <w:rsid w:val="00BF0F1E"/>
    <w:rsid w:val="00BF528C"/>
    <w:rsid w:val="00BF5F17"/>
    <w:rsid w:val="00BF7322"/>
    <w:rsid w:val="00BF75B5"/>
    <w:rsid w:val="00C05AA7"/>
    <w:rsid w:val="00C0649E"/>
    <w:rsid w:val="00C10A04"/>
    <w:rsid w:val="00C116F8"/>
    <w:rsid w:val="00C12182"/>
    <w:rsid w:val="00C12D81"/>
    <w:rsid w:val="00C14758"/>
    <w:rsid w:val="00C168F8"/>
    <w:rsid w:val="00C1718A"/>
    <w:rsid w:val="00C17835"/>
    <w:rsid w:val="00C218B8"/>
    <w:rsid w:val="00C3299E"/>
    <w:rsid w:val="00C35D51"/>
    <w:rsid w:val="00C50DDB"/>
    <w:rsid w:val="00C51394"/>
    <w:rsid w:val="00C53A92"/>
    <w:rsid w:val="00C62C7E"/>
    <w:rsid w:val="00C65277"/>
    <w:rsid w:val="00C65F26"/>
    <w:rsid w:val="00C7466D"/>
    <w:rsid w:val="00C74C20"/>
    <w:rsid w:val="00C76CAA"/>
    <w:rsid w:val="00C83B72"/>
    <w:rsid w:val="00C86B98"/>
    <w:rsid w:val="00C87C15"/>
    <w:rsid w:val="00C9079D"/>
    <w:rsid w:val="00C919B2"/>
    <w:rsid w:val="00C96B6A"/>
    <w:rsid w:val="00C978E6"/>
    <w:rsid w:val="00C97B18"/>
    <w:rsid w:val="00CA66B5"/>
    <w:rsid w:val="00CB1593"/>
    <w:rsid w:val="00CB5380"/>
    <w:rsid w:val="00CB56C1"/>
    <w:rsid w:val="00CC0207"/>
    <w:rsid w:val="00CD2D4D"/>
    <w:rsid w:val="00CD3FEF"/>
    <w:rsid w:val="00CD4404"/>
    <w:rsid w:val="00CD7538"/>
    <w:rsid w:val="00CE6747"/>
    <w:rsid w:val="00CE7304"/>
    <w:rsid w:val="00CF787D"/>
    <w:rsid w:val="00D01B75"/>
    <w:rsid w:val="00D100EE"/>
    <w:rsid w:val="00D148CC"/>
    <w:rsid w:val="00D211C7"/>
    <w:rsid w:val="00D21ABD"/>
    <w:rsid w:val="00D240A1"/>
    <w:rsid w:val="00D34801"/>
    <w:rsid w:val="00D40F49"/>
    <w:rsid w:val="00D41409"/>
    <w:rsid w:val="00D42144"/>
    <w:rsid w:val="00D51AA3"/>
    <w:rsid w:val="00D51F92"/>
    <w:rsid w:val="00D56046"/>
    <w:rsid w:val="00D56ADA"/>
    <w:rsid w:val="00D634AC"/>
    <w:rsid w:val="00D7140D"/>
    <w:rsid w:val="00D8048A"/>
    <w:rsid w:val="00D85C87"/>
    <w:rsid w:val="00D86BB7"/>
    <w:rsid w:val="00D87C94"/>
    <w:rsid w:val="00D954A3"/>
    <w:rsid w:val="00D969C4"/>
    <w:rsid w:val="00DA3AA5"/>
    <w:rsid w:val="00DB12E2"/>
    <w:rsid w:val="00DB171F"/>
    <w:rsid w:val="00DB282E"/>
    <w:rsid w:val="00DB2C6D"/>
    <w:rsid w:val="00DB3522"/>
    <w:rsid w:val="00DB4BDE"/>
    <w:rsid w:val="00DC1096"/>
    <w:rsid w:val="00DC286C"/>
    <w:rsid w:val="00DC30E8"/>
    <w:rsid w:val="00DC39F4"/>
    <w:rsid w:val="00DC584E"/>
    <w:rsid w:val="00DC6EC4"/>
    <w:rsid w:val="00DE1E23"/>
    <w:rsid w:val="00DE4D78"/>
    <w:rsid w:val="00DF15DB"/>
    <w:rsid w:val="00DF288B"/>
    <w:rsid w:val="00E05364"/>
    <w:rsid w:val="00E13764"/>
    <w:rsid w:val="00E13BCB"/>
    <w:rsid w:val="00E21B3F"/>
    <w:rsid w:val="00E2292F"/>
    <w:rsid w:val="00E22956"/>
    <w:rsid w:val="00E24688"/>
    <w:rsid w:val="00E26310"/>
    <w:rsid w:val="00E270A3"/>
    <w:rsid w:val="00E32841"/>
    <w:rsid w:val="00E36E53"/>
    <w:rsid w:val="00E4003F"/>
    <w:rsid w:val="00E4181F"/>
    <w:rsid w:val="00E44E7D"/>
    <w:rsid w:val="00E53B2A"/>
    <w:rsid w:val="00E5573D"/>
    <w:rsid w:val="00E579C3"/>
    <w:rsid w:val="00E64EBF"/>
    <w:rsid w:val="00E7211B"/>
    <w:rsid w:val="00E86A8A"/>
    <w:rsid w:val="00E87194"/>
    <w:rsid w:val="00E87785"/>
    <w:rsid w:val="00E87D6D"/>
    <w:rsid w:val="00E91050"/>
    <w:rsid w:val="00E9677F"/>
    <w:rsid w:val="00EA0DD8"/>
    <w:rsid w:val="00EA1F37"/>
    <w:rsid w:val="00EA35EF"/>
    <w:rsid w:val="00EA41C1"/>
    <w:rsid w:val="00EA47E1"/>
    <w:rsid w:val="00EA50FC"/>
    <w:rsid w:val="00EA5CFB"/>
    <w:rsid w:val="00EB0670"/>
    <w:rsid w:val="00EB0D15"/>
    <w:rsid w:val="00EB14E5"/>
    <w:rsid w:val="00EB21B5"/>
    <w:rsid w:val="00EB46F8"/>
    <w:rsid w:val="00EB4895"/>
    <w:rsid w:val="00EC128A"/>
    <w:rsid w:val="00ED731C"/>
    <w:rsid w:val="00ED75F3"/>
    <w:rsid w:val="00EE30E2"/>
    <w:rsid w:val="00EF040C"/>
    <w:rsid w:val="00EF28BD"/>
    <w:rsid w:val="00EF3D6D"/>
    <w:rsid w:val="00EF52A9"/>
    <w:rsid w:val="00EF5395"/>
    <w:rsid w:val="00F00D21"/>
    <w:rsid w:val="00F03367"/>
    <w:rsid w:val="00F07465"/>
    <w:rsid w:val="00F10041"/>
    <w:rsid w:val="00F13785"/>
    <w:rsid w:val="00F13DCD"/>
    <w:rsid w:val="00F1731F"/>
    <w:rsid w:val="00F20994"/>
    <w:rsid w:val="00F31861"/>
    <w:rsid w:val="00F35549"/>
    <w:rsid w:val="00F3780F"/>
    <w:rsid w:val="00F45E9B"/>
    <w:rsid w:val="00F478C2"/>
    <w:rsid w:val="00F50B65"/>
    <w:rsid w:val="00F52549"/>
    <w:rsid w:val="00F55B6D"/>
    <w:rsid w:val="00F6071A"/>
    <w:rsid w:val="00F67B8E"/>
    <w:rsid w:val="00F87D63"/>
    <w:rsid w:val="00F90997"/>
    <w:rsid w:val="00FA14BC"/>
    <w:rsid w:val="00FA36FC"/>
    <w:rsid w:val="00FB4A66"/>
    <w:rsid w:val="00FC3581"/>
    <w:rsid w:val="00FC3F63"/>
    <w:rsid w:val="00FC5D8C"/>
    <w:rsid w:val="00FC5F4B"/>
    <w:rsid w:val="00FD018E"/>
    <w:rsid w:val="00FD334B"/>
    <w:rsid w:val="00FD3B94"/>
    <w:rsid w:val="00FF10B2"/>
    <w:rsid w:val="00FF2CEC"/>
    <w:rsid w:val="00FF68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8CC3B"/>
  <w15:docId w15:val="{D1DC61FC-FC18-43F2-8BC4-F8354487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nagłówek 1.2"/>
    <w:qFormat/>
    <w:rsid w:val="00384DD6"/>
    <w:pPr>
      <w:spacing w:after="0" w:line="360" w:lineRule="auto"/>
      <w:jc w:val="both"/>
    </w:pPr>
    <w:rPr>
      <w:rFonts w:ascii="Arial" w:eastAsia="Times New Roman" w:hAnsi="Arial" w:cs="Times New Roman"/>
      <w:szCs w:val="20"/>
      <w:lang w:eastAsia="pl-PL"/>
    </w:rPr>
  </w:style>
  <w:style w:type="paragraph" w:styleId="Nagwek1">
    <w:name w:val="heading 1"/>
    <w:aliases w:val="Akapit z listą 1"/>
    <w:basedOn w:val="Akapitzlist"/>
    <w:next w:val="Normalny"/>
    <w:link w:val="Nagwek1Znak"/>
    <w:uiPriority w:val="9"/>
    <w:qFormat/>
    <w:rsid w:val="00A83979"/>
    <w:pPr>
      <w:keepNext/>
      <w:keepLines/>
      <w:numPr>
        <w:numId w:val="2"/>
      </w:numPr>
      <w:spacing w:before="240"/>
      <w:outlineLvl w:val="0"/>
    </w:pPr>
    <w:rPr>
      <w:rFonts w:eastAsiaTheme="majorEastAsia" w:cstheme="majorBidi"/>
      <w:b/>
      <w:color w:val="000000" w:themeColor="text1"/>
      <w:szCs w:val="32"/>
    </w:rPr>
  </w:style>
  <w:style w:type="paragraph" w:styleId="Nagwek2">
    <w:name w:val="heading 2"/>
    <w:aliases w:val="Akapit z listą 2"/>
    <w:basedOn w:val="Normalny"/>
    <w:next w:val="Akapitzlist"/>
    <w:link w:val="Nagwek2Znak"/>
    <w:uiPriority w:val="9"/>
    <w:unhideWhenUsed/>
    <w:rsid w:val="00CC0207"/>
    <w:pPr>
      <w:keepNext/>
      <w:keepLines/>
      <w:numPr>
        <w:numId w:val="1"/>
      </w:numPr>
      <w:spacing w:before="120"/>
      <w:ind w:left="709" w:hanging="709"/>
      <w:outlineLvl w:val="1"/>
    </w:pPr>
    <w:rPr>
      <w:rFonts w:eastAsiaTheme="majorEastAsia" w:cstheme="majorBidi"/>
      <w:color w:val="000000" w:themeColor="text1"/>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4458C3"/>
    <w:rPr>
      <w:rFonts w:ascii="Humnst777PL" w:hAnsi="Humnst777PL"/>
      <w:lang w:val="en-US"/>
    </w:rPr>
  </w:style>
  <w:style w:type="character" w:customStyle="1" w:styleId="TekstpodstawowyZnak">
    <w:name w:val="Tekst podstawowy Znak"/>
    <w:basedOn w:val="Domylnaczcionkaakapitu"/>
    <w:link w:val="Tekstpodstawowy"/>
    <w:uiPriority w:val="99"/>
    <w:rsid w:val="004458C3"/>
    <w:rPr>
      <w:rFonts w:ascii="Humnst777PL" w:eastAsia="Times New Roman" w:hAnsi="Humnst777PL" w:cs="Times New Roman"/>
      <w:szCs w:val="20"/>
      <w:lang w:val="en-US" w:eastAsia="pl-PL"/>
    </w:rPr>
  </w:style>
  <w:style w:type="paragraph" w:styleId="Tekstpodstawowy3">
    <w:name w:val="Body Text 3"/>
    <w:basedOn w:val="Normalny"/>
    <w:link w:val="Tekstpodstawowy3Znak"/>
    <w:uiPriority w:val="99"/>
    <w:rsid w:val="004458C3"/>
    <w:pPr>
      <w:spacing w:after="120"/>
    </w:pPr>
    <w:rPr>
      <w:sz w:val="16"/>
      <w:szCs w:val="16"/>
    </w:rPr>
  </w:style>
  <w:style w:type="character" w:customStyle="1" w:styleId="Tekstpodstawowy3Znak">
    <w:name w:val="Tekst podstawowy 3 Znak"/>
    <w:basedOn w:val="Domylnaczcionkaakapitu"/>
    <w:link w:val="Tekstpodstawowy3"/>
    <w:uiPriority w:val="99"/>
    <w:rsid w:val="004458C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4458C3"/>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58C3"/>
    <w:rPr>
      <w:rFonts w:ascii="Segoe UI" w:eastAsia="Times New Roman" w:hAnsi="Segoe UI" w:cs="Segoe UI"/>
      <w:sz w:val="18"/>
      <w:szCs w:val="18"/>
      <w:lang w:eastAsia="pl-PL"/>
    </w:rPr>
  </w:style>
  <w:style w:type="character" w:customStyle="1" w:styleId="Nagwek1Znak">
    <w:name w:val="Nagłówek 1 Znak"/>
    <w:aliases w:val="Akapit z listą 1 Znak"/>
    <w:basedOn w:val="Domylnaczcionkaakapitu"/>
    <w:link w:val="Nagwek1"/>
    <w:uiPriority w:val="9"/>
    <w:rsid w:val="00A83979"/>
    <w:rPr>
      <w:rFonts w:ascii="Arial" w:eastAsiaTheme="majorEastAsia" w:hAnsi="Arial" w:cstheme="majorBidi"/>
      <w:b/>
      <w:color w:val="000000" w:themeColor="text1"/>
      <w:szCs w:val="32"/>
      <w:lang w:eastAsia="pl-PL"/>
    </w:rPr>
  </w:style>
  <w:style w:type="paragraph" w:styleId="Nagwek">
    <w:name w:val="header"/>
    <w:basedOn w:val="Normalny"/>
    <w:link w:val="NagwekZnak"/>
    <w:uiPriority w:val="99"/>
    <w:unhideWhenUsed/>
    <w:rsid w:val="001675E0"/>
    <w:pPr>
      <w:tabs>
        <w:tab w:val="center" w:pos="4536"/>
        <w:tab w:val="right" w:pos="9072"/>
      </w:tabs>
    </w:pPr>
  </w:style>
  <w:style w:type="paragraph" w:styleId="Akapitzlist">
    <w:name w:val="List Paragraph"/>
    <w:basedOn w:val="Normalny"/>
    <w:uiPriority w:val="34"/>
    <w:qFormat/>
    <w:rsid w:val="00A83979"/>
    <w:pPr>
      <w:ind w:left="720"/>
      <w:contextualSpacing/>
    </w:pPr>
  </w:style>
  <w:style w:type="character" w:customStyle="1" w:styleId="NagwekZnak">
    <w:name w:val="Nagłówek Znak"/>
    <w:basedOn w:val="Domylnaczcionkaakapitu"/>
    <w:link w:val="Nagwek"/>
    <w:uiPriority w:val="99"/>
    <w:rsid w:val="001675E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675E0"/>
    <w:pPr>
      <w:tabs>
        <w:tab w:val="center" w:pos="4536"/>
        <w:tab w:val="right" w:pos="9072"/>
      </w:tabs>
    </w:pPr>
  </w:style>
  <w:style w:type="character" w:customStyle="1" w:styleId="StopkaZnak">
    <w:name w:val="Stopka Znak"/>
    <w:basedOn w:val="Domylnaczcionkaakapitu"/>
    <w:link w:val="Stopka"/>
    <w:uiPriority w:val="99"/>
    <w:rsid w:val="001675E0"/>
    <w:rPr>
      <w:rFonts w:ascii="Times New Roman" w:eastAsia="Times New Roman" w:hAnsi="Times New Roman" w:cs="Times New Roman"/>
      <w:sz w:val="20"/>
      <w:szCs w:val="20"/>
      <w:lang w:eastAsia="pl-PL"/>
    </w:rPr>
  </w:style>
  <w:style w:type="character" w:customStyle="1" w:styleId="Nagwek2Znak">
    <w:name w:val="Nagłówek 2 Znak"/>
    <w:aliases w:val="Akapit z listą 2 Znak"/>
    <w:basedOn w:val="Domylnaczcionkaakapitu"/>
    <w:link w:val="Nagwek2"/>
    <w:uiPriority w:val="9"/>
    <w:rsid w:val="00CC0207"/>
    <w:rPr>
      <w:rFonts w:ascii="Arial" w:eastAsiaTheme="majorEastAsia" w:hAnsi="Arial" w:cstheme="majorBidi"/>
      <w:color w:val="000000" w:themeColor="text1"/>
      <w:szCs w:val="26"/>
      <w:lang w:eastAsia="pl-PL"/>
    </w:rPr>
  </w:style>
  <w:style w:type="paragraph" w:styleId="Spistreci1">
    <w:name w:val="toc 1"/>
    <w:basedOn w:val="Normalny"/>
    <w:next w:val="Normalny"/>
    <w:autoRedefine/>
    <w:uiPriority w:val="39"/>
    <w:unhideWhenUsed/>
    <w:rsid w:val="00877753"/>
    <w:pPr>
      <w:tabs>
        <w:tab w:val="left" w:pos="440"/>
        <w:tab w:val="right" w:leader="dot" w:pos="9628"/>
      </w:tabs>
      <w:spacing w:before="120"/>
      <w:ind w:left="442" w:hanging="442"/>
      <w:jc w:val="left"/>
    </w:pPr>
    <w:rPr>
      <w:b/>
      <w:sz w:val="24"/>
    </w:rPr>
  </w:style>
  <w:style w:type="paragraph" w:styleId="Poprawka">
    <w:name w:val="Revision"/>
    <w:hidden/>
    <w:uiPriority w:val="99"/>
    <w:semiHidden/>
    <w:rsid w:val="00830784"/>
    <w:pPr>
      <w:spacing w:after="0" w:line="240" w:lineRule="auto"/>
    </w:pPr>
    <w:rPr>
      <w:rFonts w:ascii="Arial" w:eastAsia="Times New Roman" w:hAnsi="Arial" w:cs="Times New Roman"/>
      <w:szCs w:val="20"/>
      <w:lang w:eastAsia="pl-PL"/>
    </w:rPr>
  </w:style>
  <w:style w:type="paragraph" w:customStyle="1" w:styleId="Stanprosty">
    <w:name w:val="Stanprosty"/>
    <w:basedOn w:val="Normalny"/>
    <w:uiPriority w:val="99"/>
    <w:rsid w:val="00E4181F"/>
    <w:pPr>
      <w:tabs>
        <w:tab w:val="left" w:pos="357"/>
      </w:tabs>
      <w:suppressAutoHyphens/>
    </w:pPr>
    <w:rPr>
      <w:rFonts w:ascii="Times New Roman" w:hAnsi="Times New Roman"/>
      <w:sz w:val="24"/>
      <w:lang w:val="en-US" w:eastAsia="ar-SA"/>
    </w:rPr>
  </w:style>
  <w:style w:type="paragraph" w:customStyle="1" w:styleId="wciety">
    <w:name w:val="wciety"/>
    <w:basedOn w:val="Tekstpodstawowy"/>
    <w:rsid w:val="00E4181F"/>
    <w:pPr>
      <w:tabs>
        <w:tab w:val="left" w:pos="2127"/>
      </w:tabs>
      <w:spacing w:after="240" w:line="240" w:lineRule="auto"/>
      <w:ind w:left="2126" w:hanging="992"/>
    </w:pPr>
    <w:rPr>
      <w:rFonts w:ascii="Times New Roman" w:hAnsi="Times New Roman"/>
      <w:sz w:val="24"/>
      <w:szCs w:val="24"/>
      <w:lang w:val="pl-PL" w:eastAsia="en-US" w:bidi="en-US"/>
    </w:rPr>
  </w:style>
  <w:style w:type="character" w:styleId="Odwoaniedokomentarza">
    <w:name w:val="annotation reference"/>
    <w:basedOn w:val="Domylnaczcionkaakapitu"/>
    <w:uiPriority w:val="99"/>
    <w:semiHidden/>
    <w:unhideWhenUsed/>
    <w:rsid w:val="00B6181E"/>
    <w:rPr>
      <w:sz w:val="16"/>
      <w:szCs w:val="16"/>
    </w:rPr>
  </w:style>
  <w:style w:type="paragraph" w:styleId="Tekstkomentarza">
    <w:name w:val="annotation text"/>
    <w:basedOn w:val="Normalny"/>
    <w:link w:val="TekstkomentarzaZnak"/>
    <w:uiPriority w:val="99"/>
    <w:unhideWhenUsed/>
    <w:rsid w:val="00B6181E"/>
    <w:pPr>
      <w:spacing w:line="240" w:lineRule="auto"/>
    </w:pPr>
    <w:rPr>
      <w:sz w:val="20"/>
    </w:rPr>
  </w:style>
  <w:style w:type="character" w:customStyle="1" w:styleId="TekstkomentarzaZnak">
    <w:name w:val="Tekst komentarza Znak"/>
    <w:basedOn w:val="Domylnaczcionkaakapitu"/>
    <w:link w:val="Tekstkomentarza"/>
    <w:uiPriority w:val="99"/>
    <w:rsid w:val="00B6181E"/>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6181E"/>
    <w:rPr>
      <w:b/>
      <w:bCs/>
    </w:rPr>
  </w:style>
  <w:style w:type="character" w:customStyle="1" w:styleId="TematkomentarzaZnak">
    <w:name w:val="Temat komentarza Znak"/>
    <w:basedOn w:val="TekstkomentarzaZnak"/>
    <w:link w:val="Tematkomentarza"/>
    <w:uiPriority w:val="99"/>
    <w:semiHidden/>
    <w:rsid w:val="00B6181E"/>
    <w:rPr>
      <w:rFonts w:ascii="Arial" w:eastAsia="Times New Roman" w:hAnsi="Arial" w:cs="Times New Roman"/>
      <w:b/>
      <w:bCs/>
      <w:sz w:val="20"/>
      <w:szCs w:val="20"/>
      <w:lang w:eastAsia="pl-PL"/>
    </w:rPr>
  </w:style>
  <w:style w:type="paragraph" w:styleId="Tekstprzypisudolnego">
    <w:name w:val="footnote text"/>
    <w:basedOn w:val="Normalny"/>
    <w:link w:val="TekstprzypisudolnegoZnak"/>
    <w:uiPriority w:val="99"/>
    <w:semiHidden/>
    <w:unhideWhenUsed/>
    <w:rsid w:val="009E520A"/>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9E520A"/>
    <w:rPr>
      <w:rFonts w:ascii="Arial" w:eastAsia="Times New Roman" w:hAnsi="Arial" w:cs="Times New Roman"/>
      <w:sz w:val="20"/>
      <w:szCs w:val="20"/>
      <w:lang w:eastAsia="pl-PL"/>
    </w:rPr>
  </w:style>
  <w:style w:type="character" w:styleId="Odwoanieprzypisudolnego">
    <w:name w:val="footnote reference"/>
    <w:basedOn w:val="Domylnaczcionkaakapitu"/>
    <w:uiPriority w:val="99"/>
    <w:semiHidden/>
    <w:unhideWhenUsed/>
    <w:rsid w:val="009E520A"/>
    <w:rPr>
      <w:vertAlign w:val="superscript"/>
    </w:rPr>
  </w:style>
  <w:style w:type="table" w:styleId="Tabela-Siatka">
    <w:name w:val="Table Grid"/>
    <w:basedOn w:val="Standardowy"/>
    <w:uiPriority w:val="39"/>
    <w:rsid w:val="00190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548">
      <w:bodyDiv w:val="1"/>
      <w:marLeft w:val="0"/>
      <w:marRight w:val="0"/>
      <w:marTop w:val="0"/>
      <w:marBottom w:val="0"/>
      <w:divBdr>
        <w:top w:val="none" w:sz="0" w:space="0" w:color="auto"/>
        <w:left w:val="none" w:sz="0" w:space="0" w:color="auto"/>
        <w:bottom w:val="none" w:sz="0" w:space="0" w:color="auto"/>
        <w:right w:val="none" w:sz="0" w:space="0" w:color="auto"/>
      </w:divBdr>
    </w:div>
    <w:div w:id="14044340">
      <w:bodyDiv w:val="1"/>
      <w:marLeft w:val="0"/>
      <w:marRight w:val="0"/>
      <w:marTop w:val="0"/>
      <w:marBottom w:val="0"/>
      <w:divBdr>
        <w:top w:val="none" w:sz="0" w:space="0" w:color="auto"/>
        <w:left w:val="none" w:sz="0" w:space="0" w:color="auto"/>
        <w:bottom w:val="none" w:sz="0" w:space="0" w:color="auto"/>
        <w:right w:val="none" w:sz="0" w:space="0" w:color="auto"/>
      </w:divBdr>
    </w:div>
    <w:div w:id="24136081">
      <w:bodyDiv w:val="1"/>
      <w:marLeft w:val="0"/>
      <w:marRight w:val="0"/>
      <w:marTop w:val="0"/>
      <w:marBottom w:val="0"/>
      <w:divBdr>
        <w:top w:val="none" w:sz="0" w:space="0" w:color="auto"/>
        <w:left w:val="none" w:sz="0" w:space="0" w:color="auto"/>
        <w:bottom w:val="none" w:sz="0" w:space="0" w:color="auto"/>
        <w:right w:val="none" w:sz="0" w:space="0" w:color="auto"/>
      </w:divBdr>
    </w:div>
    <w:div w:id="31882562">
      <w:bodyDiv w:val="1"/>
      <w:marLeft w:val="0"/>
      <w:marRight w:val="0"/>
      <w:marTop w:val="0"/>
      <w:marBottom w:val="0"/>
      <w:divBdr>
        <w:top w:val="none" w:sz="0" w:space="0" w:color="auto"/>
        <w:left w:val="none" w:sz="0" w:space="0" w:color="auto"/>
        <w:bottom w:val="none" w:sz="0" w:space="0" w:color="auto"/>
        <w:right w:val="none" w:sz="0" w:space="0" w:color="auto"/>
      </w:divBdr>
    </w:div>
    <w:div w:id="74014193">
      <w:bodyDiv w:val="1"/>
      <w:marLeft w:val="0"/>
      <w:marRight w:val="0"/>
      <w:marTop w:val="0"/>
      <w:marBottom w:val="0"/>
      <w:divBdr>
        <w:top w:val="none" w:sz="0" w:space="0" w:color="auto"/>
        <w:left w:val="none" w:sz="0" w:space="0" w:color="auto"/>
        <w:bottom w:val="none" w:sz="0" w:space="0" w:color="auto"/>
        <w:right w:val="none" w:sz="0" w:space="0" w:color="auto"/>
      </w:divBdr>
    </w:div>
    <w:div w:id="93327488">
      <w:bodyDiv w:val="1"/>
      <w:marLeft w:val="0"/>
      <w:marRight w:val="0"/>
      <w:marTop w:val="0"/>
      <w:marBottom w:val="0"/>
      <w:divBdr>
        <w:top w:val="none" w:sz="0" w:space="0" w:color="auto"/>
        <w:left w:val="none" w:sz="0" w:space="0" w:color="auto"/>
        <w:bottom w:val="none" w:sz="0" w:space="0" w:color="auto"/>
        <w:right w:val="none" w:sz="0" w:space="0" w:color="auto"/>
      </w:divBdr>
    </w:div>
    <w:div w:id="113407172">
      <w:bodyDiv w:val="1"/>
      <w:marLeft w:val="0"/>
      <w:marRight w:val="0"/>
      <w:marTop w:val="0"/>
      <w:marBottom w:val="0"/>
      <w:divBdr>
        <w:top w:val="none" w:sz="0" w:space="0" w:color="auto"/>
        <w:left w:val="none" w:sz="0" w:space="0" w:color="auto"/>
        <w:bottom w:val="none" w:sz="0" w:space="0" w:color="auto"/>
        <w:right w:val="none" w:sz="0" w:space="0" w:color="auto"/>
      </w:divBdr>
    </w:div>
    <w:div w:id="119960202">
      <w:bodyDiv w:val="1"/>
      <w:marLeft w:val="0"/>
      <w:marRight w:val="0"/>
      <w:marTop w:val="0"/>
      <w:marBottom w:val="0"/>
      <w:divBdr>
        <w:top w:val="none" w:sz="0" w:space="0" w:color="auto"/>
        <w:left w:val="none" w:sz="0" w:space="0" w:color="auto"/>
        <w:bottom w:val="none" w:sz="0" w:space="0" w:color="auto"/>
        <w:right w:val="none" w:sz="0" w:space="0" w:color="auto"/>
      </w:divBdr>
    </w:div>
    <w:div w:id="130249809">
      <w:bodyDiv w:val="1"/>
      <w:marLeft w:val="0"/>
      <w:marRight w:val="0"/>
      <w:marTop w:val="0"/>
      <w:marBottom w:val="0"/>
      <w:divBdr>
        <w:top w:val="none" w:sz="0" w:space="0" w:color="auto"/>
        <w:left w:val="none" w:sz="0" w:space="0" w:color="auto"/>
        <w:bottom w:val="none" w:sz="0" w:space="0" w:color="auto"/>
        <w:right w:val="none" w:sz="0" w:space="0" w:color="auto"/>
      </w:divBdr>
    </w:div>
    <w:div w:id="139544221">
      <w:bodyDiv w:val="1"/>
      <w:marLeft w:val="0"/>
      <w:marRight w:val="0"/>
      <w:marTop w:val="0"/>
      <w:marBottom w:val="0"/>
      <w:divBdr>
        <w:top w:val="none" w:sz="0" w:space="0" w:color="auto"/>
        <w:left w:val="none" w:sz="0" w:space="0" w:color="auto"/>
        <w:bottom w:val="none" w:sz="0" w:space="0" w:color="auto"/>
        <w:right w:val="none" w:sz="0" w:space="0" w:color="auto"/>
      </w:divBdr>
    </w:div>
    <w:div w:id="204755342">
      <w:bodyDiv w:val="1"/>
      <w:marLeft w:val="0"/>
      <w:marRight w:val="0"/>
      <w:marTop w:val="0"/>
      <w:marBottom w:val="0"/>
      <w:divBdr>
        <w:top w:val="none" w:sz="0" w:space="0" w:color="auto"/>
        <w:left w:val="none" w:sz="0" w:space="0" w:color="auto"/>
        <w:bottom w:val="none" w:sz="0" w:space="0" w:color="auto"/>
        <w:right w:val="none" w:sz="0" w:space="0" w:color="auto"/>
      </w:divBdr>
    </w:div>
    <w:div w:id="259072223">
      <w:bodyDiv w:val="1"/>
      <w:marLeft w:val="0"/>
      <w:marRight w:val="0"/>
      <w:marTop w:val="0"/>
      <w:marBottom w:val="0"/>
      <w:divBdr>
        <w:top w:val="none" w:sz="0" w:space="0" w:color="auto"/>
        <w:left w:val="none" w:sz="0" w:space="0" w:color="auto"/>
        <w:bottom w:val="none" w:sz="0" w:space="0" w:color="auto"/>
        <w:right w:val="none" w:sz="0" w:space="0" w:color="auto"/>
      </w:divBdr>
    </w:div>
    <w:div w:id="282268263">
      <w:bodyDiv w:val="1"/>
      <w:marLeft w:val="0"/>
      <w:marRight w:val="0"/>
      <w:marTop w:val="0"/>
      <w:marBottom w:val="0"/>
      <w:divBdr>
        <w:top w:val="none" w:sz="0" w:space="0" w:color="auto"/>
        <w:left w:val="none" w:sz="0" w:space="0" w:color="auto"/>
        <w:bottom w:val="none" w:sz="0" w:space="0" w:color="auto"/>
        <w:right w:val="none" w:sz="0" w:space="0" w:color="auto"/>
      </w:divBdr>
    </w:div>
    <w:div w:id="295187238">
      <w:bodyDiv w:val="1"/>
      <w:marLeft w:val="0"/>
      <w:marRight w:val="0"/>
      <w:marTop w:val="0"/>
      <w:marBottom w:val="0"/>
      <w:divBdr>
        <w:top w:val="none" w:sz="0" w:space="0" w:color="auto"/>
        <w:left w:val="none" w:sz="0" w:space="0" w:color="auto"/>
        <w:bottom w:val="none" w:sz="0" w:space="0" w:color="auto"/>
        <w:right w:val="none" w:sz="0" w:space="0" w:color="auto"/>
      </w:divBdr>
    </w:div>
    <w:div w:id="316108914">
      <w:bodyDiv w:val="1"/>
      <w:marLeft w:val="0"/>
      <w:marRight w:val="0"/>
      <w:marTop w:val="0"/>
      <w:marBottom w:val="0"/>
      <w:divBdr>
        <w:top w:val="none" w:sz="0" w:space="0" w:color="auto"/>
        <w:left w:val="none" w:sz="0" w:space="0" w:color="auto"/>
        <w:bottom w:val="none" w:sz="0" w:space="0" w:color="auto"/>
        <w:right w:val="none" w:sz="0" w:space="0" w:color="auto"/>
      </w:divBdr>
    </w:div>
    <w:div w:id="341274383">
      <w:bodyDiv w:val="1"/>
      <w:marLeft w:val="0"/>
      <w:marRight w:val="0"/>
      <w:marTop w:val="0"/>
      <w:marBottom w:val="0"/>
      <w:divBdr>
        <w:top w:val="none" w:sz="0" w:space="0" w:color="auto"/>
        <w:left w:val="none" w:sz="0" w:space="0" w:color="auto"/>
        <w:bottom w:val="none" w:sz="0" w:space="0" w:color="auto"/>
        <w:right w:val="none" w:sz="0" w:space="0" w:color="auto"/>
      </w:divBdr>
    </w:div>
    <w:div w:id="363992063">
      <w:bodyDiv w:val="1"/>
      <w:marLeft w:val="0"/>
      <w:marRight w:val="0"/>
      <w:marTop w:val="0"/>
      <w:marBottom w:val="0"/>
      <w:divBdr>
        <w:top w:val="none" w:sz="0" w:space="0" w:color="auto"/>
        <w:left w:val="none" w:sz="0" w:space="0" w:color="auto"/>
        <w:bottom w:val="none" w:sz="0" w:space="0" w:color="auto"/>
        <w:right w:val="none" w:sz="0" w:space="0" w:color="auto"/>
      </w:divBdr>
    </w:div>
    <w:div w:id="383605198">
      <w:bodyDiv w:val="1"/>
      <w:marLeft w:val="0"/>
      <w:marRight w:val="0"/>
      <w:marTop w:val="0"/>
      <w:marBottom w:val="0"/>
      <w:divBdr>
        <w:top w:val="none" w:sz="0" w:space="0" w:color="auto"/>
        <w:left w:val="none" w:sz="0" w:space="0" w:color="auto"/>
        <w:bottom w:val="none" w:sz="0" w:space="0" w:color="auto"/>
        <w:right w:val="none" w:sz="0" w:space="0" w:color="auto"/>
      </w:divBdr>
    </w:div>
    <w:div w:id="393820208">
      <w:bodyDiv w:val="1"/>
      <w:marLeft w:val="0"/>
      <w:marRight w:val="0"/>
      <w:marTop w:val="0"/>
      <w:marBottom w:val="0"/>
      <w:divBdr>
        <w:top w:val="none" w:sz="0" w:space="0" w:color="auto"/>
        <w:left w:val="none" w:sz="0" w:space="0" w:color="auto"/>
        <w:bottom w:val="none" w:sz="0" w:space="0" w:color="auto"/>
        <w:right w:val="none" w:sz="0" w:space="0" w:color="auto"/>
      </w:divBdr>
    </w:div>
    <w:div w:id="449472600">
      <w:bodyDiv w:val="1"/>
      <w:marLeft w:val="0"/>
      <w:marRight w:val="0"/>
      <w:marTop w:val="0"/>
      <w:marBottom w:val="0"/>
      <w:divBdr>
        <w:top w:val="none" w:sz="0" w:space="0" w:color="auto"/>
        <w:left w:val="none" w:sz="0" w:space="0" w:color="auto"/>
        <w:bottom w:val="none" w:sz="0" w:space="0" w:color="auto"/>
        <w:right w:val="none" w:sz="0" w:space="0" w:color="auto"/>
      </w:divBdr>
    </w:div>
    <w:div w:id="460616489">
      <w:bodyDiv w:val="1"/>
      <w:marLeft w:val="0"/>
      <w:marRight w:val="0"/>
      <w:marTop w:val="0"/>
      <w:marBottom w:val="0"/>
      <w:divBdr>
        <w:top w:val="none" w:sz="0" w:space="0" w:color="auto"/>
        <w:left w:val="none" w:sz="0" w:space="0" w:color="auto"/>
        <w:bottom w:val="none" w:sz="0" w:space="0" w:color="auto"/>
        <w:right w:val="none" w:sz="0" w:space="0" w:color="auto"/>
      </w:divBdr>
    </w:div>
    <w:div w:id="488907977">
      <w:bodyDiv w:val="1"/>
      <w:marLeft w:val="0"/>
      <w:marRight w:val="0"/>
      <w:marTop w:val="0"/>
      <w:marBottom w:val="0"/>
      <w:divBdr>
        <w:top w:val="none" w:sz="0" w:space="0" w:color="auto"/>
        <w:left w:val="none" w:sz="0" w:space="0" w:color="auto"/>
        <w:bottom w:val="none" w:sz="0" w:space="0" w:color="auto"/>
        <w:right w:val="none" w:sz="0" w:space="0" w:color="auto"/>
      </w:divBdr>
    </w:div>
    <w:div w:id="539241074">
      <w:bodyDiv w:val="1"/>
      <w:marLeft w:val="0"/>
      <w:marRight w:val="0"/>
      <w:marTop w:val="0"/>
      <w:marBottom w:val="0"/>
      <w:divBdr>
        <w:top w:val="none" w:sz="0" w:space="0" w:color="auto"/>
        <w:left w:val="none" w:sz="0" w:space="0" w:color="auto"/>
        <w:bottom w:val="none" w:sz="0" w:space="0" w:color="auto"/>
        <w:right w:val="none" w:sz="0" w:space="0" w:color="auto"/>
      </w:divBdr>
    </w:div>
    <w:div w:id="548886261">
      <w:bodyDiv w:val="1"/>
      <w:marLeft w:val="0"/>
      <w:marRight w:val="0"/>
      <w:marTop w:val="0"/>
      <w:marBottom w:val="0"/>
      <w:divBdr>
        <w:top w:val="none" w:sz="0" w:space="0" w:color="auto"/>
        <w:left w:val="none" w:sz="0" w:space="0" w:color="auto"/>
        <w:bottom w:val="none" w:sz="0" w:space="0" w:color="auto"/>
        <w:right w:val="none" w:sz="0" w:space="0" w:color="auto"/>
      </w:divBdr>
    </w:div>
    <w:div w:id="568853739">
      <w:bodyDiv w:val="1"/>
      <w:marLeft w:val="0"/>
      <w:marRight w:val="0"/>
      <w:marTop w:val="0"/>
      <w:marBottom w:val="0"/>
      <w:divBdr>
        <w:top w:val="none" w:sz="0" w:space="0" w:color="auto"/>
        <w:left w:val="none" w:sz="0" w:space="0" w:color="auto"/>
        <w:bottom w:val="none" w:sz="0" w:space="0" w:color="auto"/>
        <w:right w:val="none" w:sz="0" w:space="0" w:color="auto"/>
      </w:divBdr>
    </w:div>
    <w:div w:id="575089849">
      <w:bodyDiv w:val="1"/>
      <w:marLeft w:val="0"/>
      <w:marRight w:val="0"/>
      <w:marTop w:val="0"/>
      <w:marBottom w:val="0"/>
      <w:divBdr>
        <w:top w:val="none" w:sz="0" w:space="0" w:color="auto"/>
        <w:left w:val="none" w:sz="0" w:space="0" w:color="auto"/>
        <w:bottom w:val="none" w:sz="0" w:space="0" w:color="auto"/>
        <w:right w:val="none" w:sz="0" w:space="0" w:color="auto"/>
      </w:divBdr>
    </w:div>
    <w:div w:id="589966441">
      <w:bodyDiv w:val="1"/>
      <w:marLeft w:val="0"/>
      <w:marRight w:val="0"/>
      <w:marTop w:val="0"/>
      <w:marBottom w:val="0"/>
      <w:divBdr>
        <w:top w:val="none" w:sz="0" w:space="0" w:color="auto"/>
        <w:left w:val="none" w:sz="0" w:space="0" w:color="auto"/>
        <w:bottom w:val="none" w:sz="0" w:space="0" w:color="auto"/>
        <w:right w:val="none" w:sz="0" w:space="0" w:color="auto"/>
      </w:divBdr>
    </w:div>
    <w:div w:id="631134837">
      <w:bodyDiv w:val="1"/>
      <w:marLeft w:val="0"/>
      <w:marRight w:val="0"/>
      <w:marTop w:val="0"/>
      <w:marBottom w:val="0"/>
      <w:divBdr>
        <w:top w:val="none" w:sz="0" w:space="0" w:color="auto"/>
        <w:left w:val="none" w:sz="0" w:space="0" w:color="auto"/>
        <w:bottom w:val="none" w:sz="0" w:space="0" w:color="auto"/>
        <w:right w:val="none" w:sz="0" w:space="0" w:color="auto"/>
      </w:divBdr>
    </w:div>
    <w:div w:id="637609110">
      <w:bodyDiv w:val="1"/>
      <w:marLeft w:val="0"/>
      <w:marRight w:val="0"/>
      <w:marTop w:val="0"/>
      <w:marBottom w:val="0"/>
      <w:divBdr>
        <w:top w:val="none" w:sz="0" w:space="0" w:color="auto"/>
        <w:left w:val="none" w:sz="0" w:space="0" w:color="auto"/>
        <w:bottom w:val="none" w:sz="0" w:space="0" w:color="auto"/>
        <w:right w:val="none" w:sz="0" w:space="0" w:color="auto"/>
      </w:divBdr>
    </w:div>
    <w:div w:id="646009591">
      <w:bodyDiv w:val="1"/>
      <w:marLeft w:val="0"/>
      <w:marRight w:val="0"/>
      <w:marTop w:val="0"/>
      <w:marBottom w:val="0"/>
      <w:divBdr>
        <w:top w:val="none" w:sz="0" w:space="0" w:color="auto"/>
        <w:left w:val="none" w:sz="0" w:space="0" w:color="auto"/>
        <w:bottom w:val="none" w:sz="0" w:space="0" w:color="auto"/>
        <w:right w:val="none" w:sz="0" w:space="0" w:color="auto"/>
      </w:divBdr>
    </w:div>
    <w:div w:id="649093369">
      <w:bodyDiv w:val="1"/>
      <w:marLeft w:val="0"/>
      <w:marRight w:val="0"/>
      <w:marTop w:val="0"/>
      <w:marBottom w:val="0"/>
      <w:divBdr>
        <w:top w:val="none" w:sz="0" w:space="0" w:color="auto"/>
        <w:left w:val="none" w:sz="0" w:space="0" w:color="auto"/>
        <w:bottom w:val="none" w:sz="0" w:space="0" w:color="auto"/>
        <w:right w:val="none" w:sz="0" w:space="0" w:color="auto"/>
      </w:divBdr>
    </w:div>
    <w:div w:id="686758628">
      <w:bodyDiv w:val="1"/>
      <w:marLeft w:val="0"/>
      <w:marRight w:val="0"/>
      <w:marTop w:val="0"/>
      <w:marBottom w:val="0"/>
      <w:divBdr>
        <w:top w:val="none" w:sz="0" w:space="0" w:color="auto"/>
        <w:left w:val="none" w:sz="0" w:space="0" w:color="auto"/>
        <w:bottom w:val="none" w:sz="0" w:space="0" w:color="auto"/>
        <w:right w:val="none" w:sz="0" w:space="0" w:color="auto"/>
      </w:divBdr>
    </w:div>
    <w:div w:id="748384352">
      <w:bodyDiv w:val="1"/>
      <w:marLeft w:val="0"/>
      <w:marRight w:val="0"/>
      <w:marTop w:val="0"/>
      <w:marBottom w:val="0"/>
      <w:divBdr>
        <w:top w:val="none" w:sz="0" w:space="0" w:color="auto"/>
        <w:left w:val="none" w:sz="0" w:space="0" w:color="auto"/>
        <w:bottom w:val="none" w:sz="0" w:space="0" w:color="auto"/>
        <w:right w:val="none" w:sz="0" w:space="0" w:color="auto"/>
      </w:divBdr>
    </w:div>
    <w:div w:id="761074073">
      <w:bodyDiv w:val="1"/>
      <w:marLeft w:val="0"/>
      <w:marRight w:val="0"/>
      <w:marTop w:val="0"/>
      <w:marBottom w:val="0"/>
      <w:divBdr>
        <w:top w:val="none" w:sz="0" w:space="0" w:color="auto"/>
        <w:left w:val="none" w:sz="0" w:space="0" w:color="auto"/>
        <w:bottom w:val="none" w:sz="0" w:space="0" w:color="auto"/>
        <w:right w:val="none" w:sz="0" w:space="0" w:color="auto"/>
      </w:divBdr>
    </w:div>
    <w:div w:id="801730186">
      <w:bodyDiv w:val="1"/>
      <w:marLeft w:val="0"/>
      <w:marRight w:val="0"/>
      <w:marTop w:val="0"/>
      <w:marBottom w:val="0"/>
      <w:divBdr>
        <w:top w:val="none" w:sz="0" w:space="0" w:color="auto"/>
        <w:left w:val="none" w:sz="0" w:space="0" w:color="auto"/>
        <w:bottom w:val="none" w:sz="0" w:space="0" w:color="auto"/>
        <w:right w:val="none" w:sz="0" w:space="0" w:color="auto"/>
      </w:divBdr>
    </w:div>
    <w:div w:id="802965284">
      <w:bodyDiv w:val="1"/>
      <w:marLeft w:val="0"/>
      <w:marRight w:val="0"/>
      <w:marTop w:val="0"/>
      <w:marBottom w:val="0"/>
      <w:divBdr>
        <w:top w:val="none" w:sz="0" w:space="0" w:color="auto"/>
        <w:left w:val="none" w:sz="0" w:space="0" w:color="auto"/>
        <w:bottom w:val="none" w:sz="0" w:space="0" w:color="auto"/>
        <w:right w:val="none" w:sz="0" w:space="0" w:color="auto"/>
      </w:divBdr>
    </w:div>
    <w:div w:id="860776950">
      <w:bodyDiv w:val="1"/>
      <w:marLeft w:val="0"/>
      <w:marRight w:val="0"/>
      <w:marTop w:val="0"/>
      <w:marBottom w:val="0"/>
      <w:divBdr>
        <w:top w:val="none" w:sz="0" w:space="0" w:color="auto"/>
        <w:left w:val="none" w:sz="0" w:space="0" w:color="auto"/>
        <w:bottom w:val="none" w:sz="0" w:space="0" w:color="auto"/>
        <w:right w:val="none" w:sz="0" w:space="0" w:color="auto"/>
      </w:divBdr>
    </w:div>
    <w:div w:id="862403861">
      <w:bodyDiv w:val="1"/>
      <w:marLeft w:val="0"/>
      <w:marRight w:val="0"/>
      <w:marTop w:val="0"/>
      <w:marBottom w:val="0"/>
      <w:divBdr>
        <w:top w:val="none" w:sz="0" w:space="0" w:color="auto"/>
        <w:left w:val="none" w:sz="0" w:space="0" w:color="auto"/>
        <w:bottom w:val="none" w:sz="0" w:space="0" w:color="auto"/>
        <w:right w:val="none" w:sz="0" w:space="0" w:color="auto"/>
      </w:divBdr>
    </w:div>
    <w:div w:id="881360573">
      <w:bodyDiv w:val="1"/>
      <w:marLeft w:val="0"/>
      <w:marRight w:val="0"/>
      <w:marTop w:val="0"/>
      <w:marBottom w:val="0"/>
      <w:divBdr>
        <w:top w:val="none" w:sz="0" w:space="0" w:color="auto"/>
        <w:left w:val="none" w:sz="0" w:space="0" w:color="auto"/>
        <w:bottom w:val="none" w:sz="0" w:space="0" w:color="auto"/>
        <w:right w:val="none" w:sz="0" w:space="0" w:color="auto"/>
      </w:divBdr>
    </w:div>
    <w:div w:id="893926259">
      <w:bodyDiv w:val="1"/>
      <w:marLeft w:val="0"/>
      <w:marRight w:val="0"/>
      <w:marTop w:val="0"/>
      <w:marBottom w:val="0"/>
      <w:divBdr>
        <w:top w:val="none" w:sz="0" w:space="0" w:color="auto"/>
        <w:left w:val="none" w:sz="0" w:space="0" w:color="auto"/>
        <w:bottom w:val="none" w:sz="0" w:space="0" w:color="auto"/>
        <w:right w:val="none" w:sz="0" w:space="0" w:color="auto"/>
      </w:divBdr>
    </w:div>
    <w:div w:id="908657081">
      <w:bodyDiv w:val="1"/>
      <w:marLeft w:val="0"/>
      <w:marRight w:val="0"/>
      <w:marTop w:val="0"/>
      <w:marBottom w:val="0"/>
      <w:divBdr>
        <w:top w:val="none" w:sz="0" w:space="0" w:color="auto"/>
        <w:left w:val="none" w:sz="0" w:space="0" w:color="auto"/>
        <w:bottom w:val="none" w:sz="0" w:space="0" w:color="auto"/>
        <w:right w:val="none" w:sz="0" w:space="0" w:color="auto"/>
      </w:divBdr>
    </w:div>
    <w:div w:id="927227967">
      <w:bodyDiv w:val="1"/>
      <w:marLeft w:val="0"/>
      <w:marRight w:val="0"/>
      <w:marTop w:val="0"/>
      <w:marBottom w:val="0"/>
      <w:divBdr>
        <w:top w:val="none" w:sz="0" w:space="0" w:color="auto"/>
        <w:left w:val="none" w:sz="0" w:space="0" w:color="auto"/>
        <w:bottom w:val="none" w:sz="0" w:space="0" w:color="auto"/>
        <w:right w:val="none" w:sz="0" w:space="0" w:color="auto"/>
      </w:divBdr>
    </w:div>
    <w:div w:id="989334650">
      <w:bodyDiv w:val="1"/>
      <w:marLeft w:val="0"/>
      <w:marRight w:val="0"/>
      <w:marTop w:val="0"/>
      <w:marBottom w:val="0"/>
      <w:divBdr>
        <w:top w:val="none" w:sz="0" w:space="0" w:color="auto"/>
        <w:left w:val="none" w:sz="0" w:space="0" w:color="auto"/>
        <w:bottom w:val="none" w:sz="0" w:space="0" w:color="auto"/>
        <w:right w:val="none" w:sz="0" w:space="0" w:color="auto"/>
      </w:divBdr>
    </w:div>
    <w:div w:id="991175303">
      <w:bodyDiv w:val="1"/>
      <w:marLeft w:val="0"/>
      <w:marRight w:val="0"/>
      <w:marTop w:val="0"/>
      <w:marBottom w:val="0"/>
      <w:divBdr>
        <w:top w:val="none" w:sz="0" w:space="0" w:color="auto"/>
        <w:left w:val="none" w:sz="0" w:space="0" w:color="auto"/>
        <w:bottom w:val="none" w:sz="0" w:space="0" w:color="auto"/>
        <w:right w:val="none" w:sz="0" w:space="0" w:color="auto"/>
      </w:divBdr>
    </w:div>
    <w:div w:id="994408421">
      <w:bodyDiv w:val="1"/>
      <w:marLeft w:val="0"/>
      <w:marRight w:val="0"/>
      <w:marTop w:val="0"/>
      <w:marBottom w:val="0"/>
      <w:divBdr>
        <w:top w:val="none" w:sz="0" w:space="0" w:color="auto"/>
        <w:left w:val="none" w:sz="0" w:space="0" w:color="auto"/>
        <w:bottom w:val="none" w:sz="0" w:space="0" w:color="auto"/>
        <w:right w:val="none" w:sz="0" w:space="0" w:color="auto"/>
      </w:divBdr>
    </w:div>
    <w:div w:id="1023631138">
      <w:bodyDiv w:val="1"/>
      <w:marLeft w:val="0"/>
      <w:marRight w:val="0"/>
      <w:marTop w:val="0"/>
      <w:marBottom w:val="0"/>
      <w:divBdr>
        <w:top w:val="none" w:sz="0" w:space="0" w:color="auto"/>
        <w:left w:val="none" w:sz="0" w:space="0" w:color="auto"/>
        <w:bottom w:val="none" w:sz="0" w:space="0" w:color="auto"/>
        <w:right w:val="none" w:sz="0" w:space="0" w:color="auto"/>
      </w:divBdr>
    </w:div>
    <w:div w:id="1039473043">
      <w:bodyDiv w:val="1"/>
      <w:marLeft w:val="0"/>
      <w:marRight w:val="0"/>
      <w:marTop w:val="0"/>
      <w:marBottom w:val="0"/>
      <w:divBdr>
        <w:top w:val="none" w:sz="0" w:space="0" w:color="auto"/>
        <w:left w:val="none" w:sz="0" w:space="0" w:color="auto"/>
        <w:bottom w:val="none" w:sz="0" w:space="0" w:color="auto"/>
        <w:right w:val="none" w:sz="0" w:space="0" w:color="auto"/>
      </w:divBdr>
    </w:div>
    <w:div w:id="1048989255">
      <w:bodyDiv w:val="1"/>
      <w:marLeft w:val="0"/>
      <w:marRight w:val="0"/>
      <w:marTop w:val="0"/>
      <w:marBottom w:val="0"/>
      <w:divBdr>
        <w:top w:val="none" w:sz="0" w:space="0" w:color="auto"/>
        <w:left w:val="none" w:sz="0" w:space="0" w:color="auto"/>
        <w:bottom w:val="none" w:sz="0" w:space="0" w:color="auto"/>
        <w:right w:val="none" w:sz="0" w:space="0" w:color="auto"/>
      </w:divBdr>
    </w:div>
    <w:div w:id="1136491536">
      <w:bodyDiv w:val="1"/>
      <w:marLeft w:val="0"/>
      <w:marRight w:val="0"/>
      <w:marTop w:val="0"/>
      <w:marBottom w:val="0"/>
      <w:divBdr>
        <w:top w:val="none" w:sz="0" w:space="0" w:color="auto"/>
        <w:left w:val="none" w:sz="0" w:space="0" w:color="auto"/>
        <w:bottom w:val="none" w:sz="0" w:space="0" w:color="auto"/>
        <w:right w:val="none" w:sz="0" w:space="0" w:color="auto"/>
      </w:divBdr>
    </w:div>
    <w:div w:id="1160924010">
      <w:bodyDiv w:val="1"/>
      <w:marLeft w:val="0"/>
      <w:marRight w:val="0"/>
      <w:marTop w:val="0"/>
      <w:marBottom w:val="0"/>
      <w:divBdr>
        <w:top w:val="none" w:sz="0" w:space="0" w:color="auto"/>
        <w:left w:val="none" w:sz="0" w:space="0" w:color="auto"/>
        <w:bottom w:val="none" w:sz="0" w:space="0" w:color="auto"/>
        <w:right w:val="none" w:sz="0" w:space="0" w:color="auto"/>
      </w:divBdr>
    </w:div>
    <w:div w:id="1269314558">
      <w:bodyDiv w:val="1"/>
      <w:marLeft w:val="0"/>
      <w:marRight w:val="0"/>
      <w:marTop w:val="0"/>
      <w:marBottom w:val="0"/>
      <w:divBdr>
        <w:top w:val="none" w:sz="0" w:space="0" w:color="auto"/>
        <w:left w:val="none" w:sz="0" w:space="0" w:color="auto"/>
        <w:bottom w:val="none" w:sz="0" w:space="0" w:color="auto"/>
        <w:right w:val="none" w:sz="0" w:space="0" w:color="auto"/>
      </w:divBdr>
    </w:div>
    <w:div w:id="1308780189">
      <w:bodyDiv w:val="1"/>
      <w:marLeft w:val="0"/>
      <w:marRight w:val="0"/>
      <w:marTop w:val="0"/>
      <w:marBottom w:val="0"/>
      <w:divBdr>
        <w:top w:val="none" w:sz="0" w:space="0" w:color="auto"/>
        <w:left w:val="none" w:sz="0" w:space="0" w:color="auto"/>
        <w:bottom w:val="none" w:sz="0" w:space="0" w:color="auto"/>
        <w:right w:val="none" w:sz="0" w:space="0" w:color="auto"/>
      </w:divBdr>
    </w:div>
    <w:div w:id="1310475401">
      <w:bodyDiv w:val="1"/>
      <w:marLeft w:val="0"/>
      <w:marRight w:val="0"/>
      <w:marTop w:val="0"/>
      <w:marBottom w:val="0"/>
      <w:divBdr>
        <w:top w:val="none" w:sz="0" w:space="0" w:color="auto"/>
        <w:left w:val="none" w:sz="0" w:space="0" w:color="auto"/>
        <w:bottom w:val="none" w:sz="0" w:space="0" w:color="auto"/>
        <w:right w:val="none" w:sz="0" w:space="0" w:color="auto"/>
      </w:divBdr>
    </w:div>
    <w:div w:id="1320303133">
      <w:bodyDiv w:val="1"/>
      <w:marLeft w:val="0"/>
      <w:marRight w:val="0"/>
      <w:marTop w:val="0"/>
      <w:marBottom w:val="0"/>
      <w:divBdr>
        <w:top w:val="none" w:sz="0" w:space="0" w:color="auto"/>
        <w:left w:val="none" w:sz="0" w:space="0" w:color="auto"/>
        <w:bottom w:val="none" w:sz="0" w:space="0" w:color="auto"/>
        <w:right w:val="none" w:sz="0" w:space="0" w:color="auto"/>
      </w:divBdr>
    </w:div>
    <w:div w:id="1345791151">
      <w:bodyDiv w:val="1"/>
      <w:marLeft w:val="0"/>
      <w:marRight w:val="0"/>
      <w:marTop w:val="0"/>
      <w:marBottom w:val="0"/>
      <w:divBdr>
        <w:top w:val="none" w:sz="0" w:space="0" w:color="auto"/>
        <w:left w:val="none" w:sz="0" w:space="0" w:color="auto"/>
        <w:bottom w:val="none" w:sz="0" w:space="0" w:color="auto"/>
        <w:right w:val="none" w:sz="0" w:space="0" w:color="auto"/>
      </w:divBdr>
    </w:div>
    <w:div w:id="1382631382">
      <w:bodyDiv w:val="1"/>
      <w:marLeft w:val="0"/>
      <w:marRight w:val="0"/>
      <w:marTop w:val="0"/>
      <w:marBottom w:val="0"/>
      <w:divBdr>
        <w:top w:val="none" w:sz="0" w:space="0" w:color="auto"/>
        <w:left w:val="none" w:sz="0" w:space="0" w:color="auto"/>
        <w:bottom w:val="none" w:sz="0" w:space="0" w:color="auto"/>
        <w:right w:val="none" w:sz="0" w:space="0" w:color="auto"/>
      </w:divBdr>
    </w:div>
    <w:div w:id="1387143424">
      <w:bodyDiv w:val="1"/>
      <w:marLeft w:val="0"/>
      <w:marRight w:val="0"/>
      <w:marTop w:val="0"/>
      <w:marBottom w:val="0"/>
      <w:divBdr>
        <w:top w:val="none" w:sz="0" w:space="0" w:color="auto"/>
        <w:left w:val="none" w:sz="0" w:space="0" w:color="auto"/>
        <w:bottom w:val="none" w:sz="0" w:space="0" w:color="auto"/>
        <w:right w:val="none" w:sz="0" w:space="0" w:color="auto"/>
      </w:divBdr>
    </w:div>
    <w:div w:id="1391996092">
      <w:bodyDiv w:val="1"/>
      <w:marLeft w:val="0"/>
      <w:marRight w:val="0"/>
      <w:marTop w:val="0"/>
      <w:marBottom w:val="0"/>
      <w:divBdr>
        <w:top w:val="none" w:sz="0" w:space="0" w:color="auto"/>
        <w:left w:val="none" w:sz="0" w:space="0" w:color="auto"/>
        <w:bottom w:val="none" w:sz="0" w:space="0" w:color="auto"/>
        <w:right w:val="none" w:sz="0" w:space="0" w:color="auto"/>
      </w:divBdr>
    </w:div>
    <w:div w:id="1441952537">
      <w:bodyDiv w:val="1"/>
      <w:marLeft w:val="0"/>
      <w:marRight w:val="0"/>
      <w:marTop w:val="0"/>
      <w:marBottom w:val="0"/>
      <w:divBdr>
        <w:top w:val="none" w:sz="0" w:space="0" w:color="auto"/>
        <w:left w:val="none" w:sz="0" w:space="0" w:color="auto"/>
        <w:bottom w:val="none" w:sz="0" w:space="0" w:color="auto"/>
        <w:right w:val="none" w:sz="0" w:space="0" w:color="auto"/>
      </w:divBdr>
    </w:div>
    <w:div w:id="1513836712">
      <w:bodyDiv w:val="1"/>
      <w:marLeft w:val="0"/>
      <w:marRight w:val="0"/>
      <w:marTop w:val="0"/>
      <w:marBottom w:val="0"/>
      <w:divBdr>
        <w:top w:val="none" w:sz="0" w:space="0" w:color="auto"/>
        <w:left w:val="none" w:sz="0" w:space="0" w:color="auto"/>
        <w:bottom w:val="none" w:sz="0" w:space="0" w:color="auto"/>
        <w:right w:val="none" w:sz="0" w:space="0" w:color="auto"/>
      </w:divBdr>
    </w:div>
    <w:div w:id="1518737514">
      <w:bodyDiv w:val="1"/>
      <w:marLeft w:val="0"/>
      <w:marRight w:val="0"/>
      <w:marTop w:val="0"/>
      <w:marBottom w:val="0"/>
      <w:divBdr>
        <w:top w:val="none" w:sz="0" w:space="0" w:color="auto"/>
        <w:left w:val="none" w:sz="0" w:space="0" w:color="auto"/>
        <w:bottom w:val="none" w:sz="0" w:space="0" w:color="auto"/>
        <w:right w:val="none" w:sz="0" w:space="0" w:color="auto"/>
      </w:divBdr>
    </w:div>
    <w:div w:id="1526753057">
      <w:bodyDiv w:val="1"/>
      <w:marLeft w:val="0"/>
      <w:marRight w:val="0"/>
      <w:marTop w:val="0"/>
      <w:marBottom w:val="0"/>
      <w:divBdr>
        <w:top w:val="none" w:sz="0" w:space="0" w:color="auto"/>
        <w:left w:val="none" w:sz="0" w:space="0" w:color="auto"/>
        <w:bottom w:val="none" w:sz="0" w:space="0" w:color="auto"/>
        <w:right w:val="none" w:sz="0" w:space="0" w:color="auto"/>
      </w:divBdr>
    </w:div>
    <w:div w:id="1535196664">
      <w:bodyDiv w:val="1"/>
      <w:marLeft w:val="0"/>
      <w:marRight w:val="0"/>
      <w:marTop w:val="0"/>
      <w:marBottom w:val="0"/>
      <w:divBdr>
        <w:top w:val="none" w:sz="0" w:space="0" w:color="auto"/>
        <w:left w:val="none" w:sz="0" w:space="0" w:color="auto"/>
        <w:bottom w:val="none" w:sz="0" w:space="0" w:color="auto"/>
        <w:right w:val="none" w:sz="0" w:space="0" w:color="auto"/>
      </w:divBdr>
    </w:div>
    <w:div w:id="1553806576">
      <w:bodyDiv w:val="1"/>
      <w:marLeft w:val="0"/>
      <w:marRight w:val="0"/>
      <w:marTop w:val="0"/>
      <w:marBottom w:val="0"/>
      <w:divBdr>
        <w:top w:val="none" w:sz="0" w:space="0" w:color="auto"/>
        <w:left w:val="none" w:sz="0" w:space="0" w:color="auto"/>
        <w:bottom w:val="none" w:sz="0" w:space="0" w:color="auto"/>
        <w:right w:val="none" w:sz="0" w:space="0" w:color="auto"/>
      </w:divBdr>
    </w:div>
    <w:div w:id="1582524062">
      <w:bodyDiv w:val="1"/>
      <w:marLeft w:val="0"/>
      <w:marRight w:val="0"/>
      <w:marTop w:val="0"/>
      <w:marBottom w:val="0"/>
      <w:divBdr>
        <w:top w:val="none" w:sz="0" w:space="0" w:color="auto"/>
        <w:left w:val="none" w:sz="0" w:space="0" w:color="auto"/>
        <w:bottom w:val="none" w:sz="0" w:space="0" w:color="auto"/>
        <w:right w:val="none" w:sz="0" w:space="0" w:color="auto"/>
      </w:divBdr>
    </w:div>
    <w:div w:id="1592665669">
      <w:bodyDiv w:val="1"/>
      <w:marLeft w:val="0"/>
      <w:marRight w:val="0"/>
      <w:marTop w:val="0"/>
      <w:marBottom w:val="0"/>
      <w:divBdr>
        <w:top w:val="none" w:sz="0" w:space="0" w:color="auto"/>
        <w:left w:val="none" w:sz="0" w:space="0" w:color="auto"/>
        <w:bottom w:val="none" w:sz="0" w:space="0" w:color="auto"/>
        <w:right w:val="none" w:sz="0" w:space="0" w:color="auto"/>
      </w:divBdr>
    </w:div>
    <w:div w:id="1600722692">
      <w:bodyDiv w:val="1"/>
      <w:marLeft w:val="0"/>
      <w:marRight w:val="0"/>
      <w:marTop w:val="0"/>
      <w:marBottom w:val="0"/>
      <w:divBdr>
        <w:top w:val="none" w:sz="0" w:space="0" w:color="auto"/>
        <w:left w:val="none" w:sz="0" w:space="0" w:color="auto"/>
        <w:bottom w:val="none" w:sz="0" w:space="0" w:color="auto"/>
        <w:right w:val="none" w:sz="0" w:space="0" w:color="auto"/>
      </w:divBdr>
    </w:div>
    <w:div w:id="1637643124">
      <w:bodyDiv w:val="1"/>
      <w:marLeft w:val="0"/>
      <w:marRight w:val="0"/>
      <w:marTop w:val="0"/>
      <w:marBottom w:val="0"/>
      <w:divBdr>
        <w:top w:val="none" w:sz="0" w:space="0" w:color="auto"/>
        <w:left w:val="none" w:sz="0" w:space="0" w:color="auto"/>
        <w:bottom w:val="none" w:sz="0" w:space="0" w:color="auto"/>
        <w:right w:val="none" w:sz="0" w:space="0" w:color="auto"/>
      </w:divBdr>
    </w:div>
    <w:div w:id="1663464862">
      <w:bodyDiv w:val="1"/>
      <w:marLeft w:val="0"/>
      <w:marRight w:val="0"/>
      <w:marTop w:val="0"/>
      <w:marBottom w:val="0"/>
      <w:divBdr>
        <w:top w:val="none" w:sz="0" w:space="0" w:color="auto"/>
        <w:left w:val="none" w:sz="0" w:space="0" w:color="auto"/>
        <w:bottom w:val="none" w:sz="0" w:space="0" w:color="auto"/>
        <w:right w:val="none" w:sz="0" w:space="0" w:color="auto"/>
      </w:divBdr>
    </w:div>
    <w:div w:id="1683897554">
      <w:bodyDiv w:val="1"/>
      <w:marLeft w:val="0"/>
      <w:marRight w:val="0"/>
      <w:marTop w:val="0"/>
      <w:marBottom w:val="0"/>
      <w:divBdr>
        <w:top w:val="none" w:sz="0" w:space="0" w:color="auto"/>
        <w:left w:val="none" w:sz="0" w:space="0" w:color="auto"/>
        <w:bottom w:val="none" w:sz="0" w:space="0" w:color="auto"/>
        <w:right w:val="none" w:sz="0" w:space="0" w:color="auto"/>
      </w:divBdr>
    </w:div>
    <w:div w:id="1694573158">
      <w:bodyDiv w:val="1"/>
      <w:marLeft w:val="0"/>
      <w:marRight w:val="0"/>
      <w:marTop w:val="0"/>
      <w:marBottom w:val="0"/>
      <w:divBdr>
        <w:top w:val="none" w:sz="0" w:space="0" w:color="auto"/>
        <w:left w:val="none" w:sz="0" w:space="0" w:color="auto"/>
        <w:bottom w:val="none" w:sz="0" w:space="0" w:color="auto"/>
        <w:right w:val="none" w:sz="0" w:space="0" w:color="auto"/>
      </w:divBdr>
    </w:div>
    <w:div w:id="1716461869">
      <w:bodyDiv w:val="1"/>
      <w:marLeft w:val="0"/>
      <w:marRight w:val="0"/>
      <w:marTop w:val="0"/>
      <w:marBottom w:val="0"/>
      <w:divBdr>
        <w:top w:val="none" w:sz="0" w:space="0" w:color="auto"/>
        <w:left w:val="none" w:sz="0" w:space="0" w:color="auto"/>
        <w:bottom w:val="none" w:sz="0" w:space="0" w:color="auto"/>
        <w:right w:val="none" w:sz="0" w:space="0" w:color="auto"/>
      </w:divBdr>
    </w:div>
    <w:div w:id="1736008334">
      <w:bodyDiv w:val="1"/>
      <w:marLeft w:val="0"/>
      <w:marRight w:val="0"/>
      <w:marTop w:val="0"/>
      <w:marBottom w:val="0"/>
      <w:divBdr>
        <w:top w:val="none" w:sz="0" w:space="0" w:color="auto"/>
        <w:left w:val="none" w:sz="0" w:space="0" w:color="auto"/>
        <w:bottom w:val="none" w:sz="0" w:space="0" w:color="auto"/>
        <w:right w:val="none" w:sz="0" w:space="0" w:color="auto"/>
      </w:divBdr>
    </w:div>
    <w:div w:id="1778671446">
      <w:bodyDiv w:val="1"/>
      <w:marLeft w:val="0"/>
      <w:marRight w:val="0"/>
      <w:marTop w:val="0"/>
      <w:marBottom w:val="0"/>
      <w:divBdr>
        <w:top w:val="none" w:sz="0" w:space="0" w:color="auto"/>
        <w:left w:val="none" w:sz="0" w:space="0" w:color="auto"/>
        <w:bottom w:val="none" w:sz="0" w:space="0" w:color="auto"/>
        <w:right w:val="none" w:sz="0" w:space="0" w:color="auto"/>
      </w:divBdr>
    </w:div>
    <w:div w:id="1785229229">
      <w:bodyDiv w:val="1"/>
      <w:marLeft w:val="0"/>
      <w:marRight w:val="0"/>
      <w:marTop w:val="0"/>
      <w:marBottom w:val="0"/>
      <w:divBdr>
        <w:top w:val="none" w:sz="0" w:space="0" w:color="auto"/>
        <w:left w:val="none" w:sz="0" w:space="0" w:color="auto"/>
        <w:bottom w:val="none" w:sz="0" w:space="0" w:color="auto"/>
        <w:right w:val="none" w:sz="0" w:space="0" w:color="auto"/>
      </w:divBdr>
    </w:div>
    <w:div w:id="1813408098">
      <w:bodyDiv w:val="1"/>
      <w:marLeft w:val="0"/>
      <w:marRight w:val="0"/>
      <w:marTop w:val="0"/>
      <w:marBottom w:val="0"/>
      <w:divBdr>
        <w:top w:val="none" w:sz="0" w:space="0" w:color="auto"/>
        <w:left w:val="none" w:sz="0" w:space="0" w:color="auto"/>
        <w:bottom w:val="none" w:sz="0" w:space="0" w:color="auto"/>
        <w:right w:val="none" w:sz="0" w:space="0" w:color="auto"/>
      </w:divBdr>
    </w:div>
    <w:div w:id="1850102091">
      <w:bodyDiv w:val="1"/>
      <w:marLeft w:val="0"/>
      <w:marRight w:val="0"/>
      <w:marTop w:val="0"/>
      <w:marBottom w:val="0"/>
      <w:divBdr>
        <w:top w:val="none" w:sz="0" w:space="0" w:color="auto"/>
        <w:left w:val="none" w:sz="0" w:space="0" w:color="auto"/>
        <w:bottom w:val="none" w:sz="0" w:space="0" w:color="auto"/>
        <w:right w:val="none" w:sz="0" w:space="0" w:color="auto"/>
      </w:divBdr>
    </w:div>
    <w:div w:id="1892376115">
      <w:bodyDiv w:val="1"/>
      <w:marLeft w:val="0"/>
      <w:marRight w:val="0"/>
      <w:marTop w:val="0"/>
      <w:marBottom w:val="0"/>
      <w:divBdr>
        <w:top w:val="none" w:sz="0" w:space="0" w:color="auto"/>
        <w:left w:val="none" w:sz="0" w:space="0" w:color="auto"/>
        <w:bottom w:val="none" w:sz="0" w:space="0" w:color="auto"/>
        <w:right w:val="none" w:sz="0" w:space="0" w:color="auto"/>
      </w:divBdr>
    </w:div>
    <w:div w:id="1945140794">
      <w:bodyDiv w:val="1"/>
      <w:marLeft w:val="0"/>
      <w:marRight w:val="0"/>
      <w:marTop w:val="0"/>
      <w:marBottom w:val="0"/>
      <w:divBdr>
        <w:top w:val="none" w:sz="0" w:space="0" w:color="auto"/>
        <w:left w:val="none" w:sz="0" w:space="0" w:color="auto"/>
        <w:bottom w:val="none" w:sz="0" w:space="0" w:color="auto"/>
        <w:right w:val="none" w:sz="0" w:space="0" w:color="auto"/>
      </w:divBdr>
    </w:div>
    <w:div w:id="1949266738">
      <w:bodyDiv w:val="1"/>
      <w:marLeft w:val="0"/>
      <w:marRight w:val="0"/>
      <w:marTop w:val="0"/>
      <w:marBottom w:val="0"/>
      <w:divBdr>
        <w:top w:val="none" w:sz="0" w:space="0" w:color="auto"/>
        <w:left w:val="none" w:sz="0" w:space="0" w:color="auto"/>
        <w:bottom w:val="none" w:sz="0" w:space="0" w:color="auto"/>
        <w:right w:val="none" w:sz="0" w:space="0" w:color="auto"/>
      </w:divBdr>
    </w:div>
    <w:div w:id="1958366999">
      <w:bodyDiv w:val="1"/>
      <w:marLeft w:val="0"/>
      <w:marRight w:val="0"/>
      <w:marTop w:val="0"/>
      <w:marBottom w:val="0"/>
      <w:divBdr>
        <w:top w:val="none" w:sz="0" w:space="0" w:color="auto"/>
        <w:left w:val="none" w:sz="0" w:space="0" w:color="auto"/>
        <w:bottom w:val="none" w:sz="0" w:space="0" w:color="auto"/>
        <w:right w:val="none" w:sz="0" w:space="0" w:color="auto"/>
      </w:divBdr>
    </w:div>
    <w:div w:id="1966889380">
      <w:bodyDiv w:val="1"/>
      <w:marLeft w:val="0"/>
      <w:marRight w:val="0"/>
      <w:marTop w:val="0"/>
      <w:marBottom w:val="0"/>
      <w:divBdr>
        <w:top w:val="none" w:sz="0" w:space="0" w:color="auto"/>
        <w:left w:val="none" w:sz="0" w:space="0" w:color="auto"/>
        <w:bottom w:val="none" w:sz="0" w:space="0" w:color="auto"/>
        <w:right w:val="none" w:sz="0" w:space="0" w:color="auto"/>
      </w:divBdr>
    </w:div>
    <w:div w:id="1973436638">
      <w:bodyDiv w:val="1"/>
      <w:marLeft w:val="0"/>
      <w:marRight w:val="0"/>
      <w:marTop w:val="0"/>
      <w:marBottom w:val="0"/>
      <w:divBdr>
        <w:top w:val="none" w:sz="0" w:space="0" w:color="auto"/>
        <w:left w:val="none" w:sz="0" w:space="0" w:color="auto"/>
        <w:bottom w:val="none" w:sz="0" w:space="0" w:color="auto"/>
        <w:right w:val="none" w:sz="0" w:space="0" w:color="auto"/>
      </w:divBdr>
    </w:div>
    <w:div w:id="2054498207">
      <w:bodyDiv w:val="1"/>
      <w:marLeft w:val="0"/>
      <w:marRight w:val="0"/>
      <w:marTop w:val="0"/>
      <w:marBottom w:val="0"/>
      <w:divBdr>
        <w:top w:val="none" w:sz="0" w:space="0" w:color="auto"/>
        <w:left w:val="none" w:sz="0" w:space="0" w:color="auto"/>
        <w:bottom w:val="none" w:sz="0" w:space="0" w:color="auto"/>
        <w:right w:val="none" w:sz="0" w:space="0" w:color="auto"/>
      </w:divBdr>
    </w:div>
    <w:div w:id="2055231215">
      <w:bodyDiv w:val="1"/>
      <w:marLeft w:val="0"/>
      <w:marRight w:val="0"/>
      <w:marTop w:val="0"/>
      <w:marBottom w:val="0"/>
      <w:divBdr>
        <w:top w:val="none" w:sz="0" w:space="0" w:color="auto"/>
        <w:left w:val="none" w:sz="0" w:space="0" w:color="auto"/>
        <w:bottom w:val="none" w:sz="0" w:space="0" w:color="auto"/>
        <w:right w:val="none" w:sz="0" w:space="0" w:color="auto"/>
      </w:divBdr>
    </w:div>
    <w:div w:id="2070111686">
      <w:bodyDiv w:val="1"/>
      <w:marLeft w:val="0"/>
      <w:marRight w:val="0"/>
      <w:marTop w:val="0"/>
      <w:marBottom w:val="0"/>
      <w:divBdr>
        <w:top w:val="none" w:sz="0" w:space="0" w:color="auto"/>
        <w:left w:val="none" w:sz="0" w:space="0" w:color="auto"/>
        <w:bottom w:val="none" w:sz="0" w:space="0" w:color="auto"/>
        <w:right w:val="none" w:sz="0" w:space="0" w:color="auto"/>
      </w:divBdr>
    </w:div>
    <w:div w:id="2080324495">
      <w:bodyDiv w:val="1"/>
      <w:marLeft w:val="0"/>
      <w:marRight w:val="0"/>
      <w:marTop w:val="0"/>
      <w:marBottom w:val="0"/>
      <w:divBdr>
        <w:top w:val="none" w:sz="0" w:space="0" w:color="auto"/>
        <w:left w:val="none" w:sz="0" w:space="0" w:color="auto"/>
        <w:bottom w:val="none" w:sz="0" w:space="0" w:color="auto"/>
        <w:right w:val="none" w:sz="0" w:space="0" w:color="auto"/>
      </w:divBdr>
    </w:div>
    <w:div w:id="2084981359">
      <w:bodyDiv w:val="1"/>
      <w:marLeft w:val="0"/>
      <w:marRight w:val="0"/>
      <w:marTop w:val="0"/>
      <w:marBottom w:val="0"/>
      <w:divBdr>
        <w:top w:val="none" w:sz="0" w:space="0" w:color="auto"/>
        <w:left w:val="none" w:sz="0" w:space="0" w:color="auto"/>
        <w:bottom w:val="none" w:sz="0" w:space="0" w:color="auto"/>
        <w:right w:val="none" w:sz="0" w:space="0" w:color="auto"/>
      </w:divBdr>
    </w:div>
    <w:div w:id="2089040087">
      <w:bodyDiv w:val="1"/>
      <w:marLeft w:val="0"/>
      <w:marRight w:val="0"/>
      <w:marTop w:val="0"/>
      <w:marBottom w:val="0"/>
      <w:divBdr>
        <w:top w:val="none" w:sz="0" w:space="0" w:color="auto"/>
        <w:left w:val="none" w:sz="0" w:space="0" w:color="auto"/>
        <w:bottom w:val="none" w:sz="0" w:space="0" w:color="auto"/>
        <w:right w:val="none" w:sz="0" w:space="0" w:color="auto"/>
      </w:divBdr>
    </w:div>
    <w:div w:id="2090536205">
      <w:bodyDiv w:val="1"/>
      <w:marLeft w:val="0"/>
      <w:marRight w:val="0"/>
      <w:marTop w:val="0"/>
      <w:marBottom w:val="0"/>
      <w:divBdr>
        <w:top w:val="none" w:sz="0" w:space="0" w:color="auto"/>
        <w:left w:val="none" w:sz="0" w:space="0" w:color="auto"/>
        <w:bottom w:val="none" w:sz="0" w:space="0" w:color="auto"/>
        <w:right w:val="none" w:sz="0" w:space="0" w:color="auto"/>
      </w:divBdr>
    </w:div>
    <w:div w:id="210044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C20A0-D0A5-4702-93FC-5B8DCAD6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1490</Words>
  <Characters>8946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PGNiG</Company>
  <LinksUpToDate>false</LinksUpToDate>
  <CharactersWithSpaces>10416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Tomasz.Pawul@ure.gov.pl</dc:creator>
  <cp:lastModifiedBy>Rokosz Wiesław</cp:lastModifiedBy>
  <cp:revision>8</cp:revision>
  <cp:lastPrinted>2021-06-11T08:44:00Z</cp:lastPrinted>
  <dcterms:created xsi:type="dcterms:W3CDTF">2022-10-26T07:50:00Z</dcterms:created>
  <dcterms:modified xsi:type="dcterms:W3CDTF">2022-10-26T12:37:00Z</dcterms:modified>
</cp:coreProperties>
</file>